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9C_147/2019 vom 25. April 2019</w:t>
      </w:r>
    </w:p>
    <w:p>
      <w:r>
        <w:t>Bundesgericht, 2019-04-25, DE</w:t>
      </w:r>
    </w:p>
    <w:p>
      <w:r>
        <w:rPr>
          <w:b/>
        </w:rPr>
        <w:t xml:space="preserve">Quelle: </w:t>
      </w:r>
      <w:r>
        <w:t>https://mcp.opencaselaw.ch/entscheid/bger_9C_147_2019</w:t>
      </w:r>
    </w:p>
    <w:p>
      <w:r>
        <w:t>FR: TF 9C_147/2019 du 25 avril 2019</w:t>
      </w:r>
    </w:p>
    <w:p>
      <w:r>
        <w:t>IT: TF 9C_147/2019 del 25 aprile 2019</w:t>
      </w:r>
    </w:p>
    <w:p>
      <w:pPr>
        <w:pStyle w:val="Heading2"/>
      </w:pPr>
      <w:r>
        <w:t>Erwägungen</w:t>
      </w:r>
    </w:p>
    <w:p>
      <w:r>
        <w:rPr>
          <w:b/>
        </w:rPr>
        <w:t>E. 1</w:t>
      </w:r>
    </w:p>
    <w:p>
      <w:r>
        <w:t>Mit Beschwerde in öffentlich-rechtlichen Angelegenheiten kann unter anderem die Verletzung von Bundesrecht gerügt werden ( Art. 95 lit. a BGG ).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nach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310f.).</w:t>
      </w:r>
    </w:p>
    <w:p>
      <w:r>
        <w:rPr>
          <w:b/>
        </w:rPr>
        <w:t>E. 2</w:t>
      </w:r>
    </w:p>
    <w:p>
      <w:r>
        <w:t>Der angefochtene Entscheid verpflichtet die beschwerdeführende Sozialversicherungsanstalt, einen Anspruch der Versicherten auf Beihilfe in sinngemässer Anwendung von § 19 Abs. 1 lit. a des zürcherischen Gesetzes vom 7. Februar 1971 über die Zusatzleistungen zur eidgenössischen Alters-, Hinterlassenen- und Invalidenversicherung (Zusatzleistungsgesetz; ZLG [LS 831.3]) zu beurteilen (Dispositiv-Ziffer 1 des angefochtenen Entscheids in Verbindung mit den entsprechenden Erwägungen). Offen bleiben kann, ob es sich dabei um einen End- oder einen Zwischenentscheid handelt. Er enthält Anordnungen, die den Beurteilungsspielraum der Beschwerdeführerin zumindest wesentlich einschränken. Sie wird gezwungen, eine ihres Erachtens rechtswidrige Verfügung zu erlassen. Die Eintretensvoraussetzung des nicht wieder gutzumachenden Nachteils im Sinne von Art. 93 Abs. 1 lit. a BGG ist vor diesem Hintergrund erfüllt ( BGE 140 V 282 E. 4.2 S. 285 f.; Urteil 9C_908/2017 vom 22. Oktober 2018 E. 2.2). Ob jedoch vorliegend die Sozialversicherungsanstalt des Kantons Zürich zur Beschwerde in öffentlich-rechtlichen Angelegenheiten legitimiert ist, erscheint aufgrund der Rechtsprechung zu Art. 89 BGG zweifelhaft ( BGE 134 V 53 E. 2.3 S. 57 ff.), braucht jedoch mit Blick auf den Ausgang des Verfahrens nicht abschliessend geprüft zu werden.</w:t>
      </w:r>
    </w:p>
    <w:p>
      <w:r>
        <w:rPr>
          <w:b/>
        </w:rPr>
        <w:t>E. 3</w:t>
      </w:r>
    </w:p>
    <w:p>
      <w:r>
        <w:t>Das kantonale Sozialversicherungsgericht gelangte zum Ergebnis, dass von Januar 2016 bis Januar 2017 Zusatzleistungen in der Höhe von Fr. 2'247.- (Fr. 362.- Beihilfe und Fr. 1'885.- Gemeindezuschüsse) unrechtmässig an die Versicherte geleistet worden seien. Eine Rückerstattungspflicht für die zu Unrecht bezogenen Gemeindezuschüsse hat es gestützt auf Art. 6 Abs. 6 der Verordnung der Gemeinde über die Gemeindezuschüsse vom 8. Juni 2016 (GZV) respektive Art. 7.3 aGZV (gültig bis Ende Juli 2016) in Verbindung mit Art. 25 Abs. 1 ATSG bejaht. Was die Beihilfe betrifft, so hat die Vorinstanz erwogen, das ZLG enthalte keine Bestimmung über die Rückerstattung zu Unrecht bezogener kantonaler Leistungen, was indessen nicht etwa den Weg frei mache für die (sinngemässe) Anwendung von Art. 25 Abs. 1 ATSG . Die Rückforderung der geleisteten Beihilfe von insgesamt Fr. 362.- ([12 x Fr. 26.-] + Fr. 50.-) sei gemäss bundesgerichtlicher Rechtsprechung vielmehr in sinngemässer Anwendung von § 19 Abs. 1 lit. a ZLG zu beurteilen (Urteil 9C_305/2012 vom 6. August 2012 E. 3.2). Es gelte somit zu prüfen, ob die Voraussetzung dieser Bestimmung erfüllt sei, wonach eine Rückforderung günstige Verhältnisse bedinge. Die Sache sei daher an die Verwaltung "zur sinngemässen Prüfung der Voraussetzung nach § 19 Abs. 1 lit. a ZLG und neuem Entscheid über den Rückerstattungsanspruch zurückzuweisen".</w:t>
      </w:r>
    </w:p>
    <w:p>
      <w:r>
        <w:rPr>
          <w:b/>
        </w:rPr>
        <w:t>E. 4.1</w:t>
      </w:r>
    </w:p>
    <w:p>
      <w:r>
        <w:t>Die Beschwerdeführerin bringt vor, für die Beurteilung der Rückerstattung unrechtmässig bezogener Beihilfen habe sich das kantonale Gericht für die Anwendung von § 19 Abs. 1 lit. a ZLG ausgesprochen. Diese Bestimmung beziehe sich jedoch ausdrücklich nur auf rechtmässig bezogene Beihilfen. Eine Anwendung auf unrechtmässig bezogene Beihilfen widerspreche daher nur schon dem klaren Gesetzeswortlaut, darüber hinaus aber auch dem Sinn und Zweck dieser Bestimmung. Diese möchte einen finanziellen Ausgleich herstellen, falls ein solcher dem rechtmässigen Bezüger finanziell zumutbar sei. Den unrechtmässigen Bezüger ebenso wohlwollend zu behandeln, widerspreche der "rechtlichen Vernunft" und den im Sozialversicherungsrecht geltenden Rechtsgrundsätzen. Art. 25 Abs. 1 ATSG beinhalte die entsprechende gesetzliche Regelung. Unrechtmässig bezogene Leistungen seien lediglich dann nicht zurückzuerstatten, wenn sie in gutem Glauben empfangen worden seien und eine grosse Härte vorliege ( Art. 25 Abs. 1 Satz 2 ATSG ). Die Rückerstattung im Fall des unrechtmässigen Bezugs von weiteren Voraussetzungen abhängig zu machen, verletze Art. 25 ATSG . Zusammenfassend enthalte das ZLG keine Regelung mit Bezug auf die Rückerstattung unrechtmässig bezogener Beihilfen. Zufolge der Verweise in § 1 und § 15 ZLG komme Art. 25 ATSG zur Anwendung. Die Nichtanwendung bedeute eine Verletzung von Art. 25 ATSG .</w:t>
      </w:r>
    </w:p>
    <w:p>
      <w:r>
        <w:rPr>
          <w:b/>
        </w:rPr>
        <w:t>E. 4.1.1</w:t>
      </w:r>
    </w:p>
    <w:p>
      <w:r>
        <w:t>Soweit die Beschwerdeführerin geltend macht, die Vorinstanz hätte für die Rückerstattung unrechtmässig geleisteter Beizüge nicht § 19 Abs. 1 lit. a ZLG als Grundlage beiziehen dürfen, macht sie eine Verletzung von kantonalem Recht geltend, ohne jedoch aufzuzeigen, inwiefern diese einen Verstoss gegen Bundesrecht oder gegen Völkerrecht im Sinne von Art. 95 lit. a und b BGG zur Folge habe. Insbesondere genügen ihre Vorbringen, soweit sie als Rüge einer willkürlichen Auslegung von § 19 Abs. 1 lit. a ZLG zu verstehen sind, den Anforderungen von Art. 106 Abs. 2 BGG nicht (vgl. E. 1).</w:t>
      </w:r>
    </w:p>
    <w:p>
      <w:r>
        <w:rPr>
          <w:b/>
        </w:rPr>
        <w:t>E. 4.1.2</w:t>
      </w:r>
    </w:p>
    <w:p>
      <w:r>
        <w:t>Ebenso unbegründet ist die Rüge einer Verletzung von Bundesrecht ( Art. 25 Abs. 1 ATSG ), und zwar unabhängig davon, ob das ZLG in § 1 und/oder § 15 eine hinreichende gesetzliche Grundlage für die Rückerstattung unrechtmässig bezogener Beihilfe nach Art. 25 ATSG bildet. Denn selbst wenn dies zutreffen sollte - wozu sich im Übrigen auch das Urteil 9C_305/2012 vom 6. August 2012 nicht äussert - würde Art. 25 Abs. 1 ATSG durch die Verweisung zum subsidiären kantonalen öffentlichen Recht und wäre nach dessen Regeln auszulegen und an zuwenden (vgl. BGE 140 I 320 E. 3.3 S. 322; Urteil 9C_727/2008 vom 6. Mai 2009 E. 2). Somit stünde höchstens eine Verletzung von kantonalem Recht, nicht aber von Bundesrecht zur Diskussion. Eine willkürliche Auslegung oder Anwendung von kantonalem Recht wird von der Beschwerdeführerin jedoch (auch) im Zusammenhang mit Art. 25 Abs. 1 ATSG nicht geltend gemacht. Damit hat es mit Blick auf Art. 95 BGG sein Bewenden (vgl. E. 1).</w:t>
      </w:r>
    </w:p>
    <w:p>
      <w:r>
        <w:rPr>
          <w:b/>
        </w:rPr>
        <w:t>E. 4.2</w:t>
      </w:r>
    </w:p>
    <w:p>
      <w:r>
        <w:t>Zusammenfassend vermögen die Vorbringen in der Beschwerde die vorinstanzliche Beurteilung weder als willkürlich noch sonst wie bundesrechtswidrig erscheinen zu lassen.</w:t>
      </w:r>
    </w:p>
    <w:p>
      <w:r>
        <w:rPr>
          <w:b/>
        </w:rPr>
        <w:t>E. 5</w:t>
      </w:r>
    </w:p>
    <w:p>
      <w:r>
        <w:t>Entsprechend dem Ausgang des Verfahrens hat die Beschwerdeführerin die Gerichtskosten zu tragen ( Art. 66 Abs. 1 BGG ). Damit ist das Gesuch der Beschwerdegegnerin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