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9C_147/2012 vom 26. April 2012</w:t>
      </w:r>
    </w:p>
    <w:p>
      <w:r>
        <w:t>Bundesgericht, 2012-04-26, DE</w:t>
      </w:r>
    </w:p>
    <w:p>
      <w:r>
        <w:rPr>
          <w:b/>
        </w:rPr>
        <w:t xml:space="preserve">Quelle: </w:t>
      </w:r>
      <w:r>
        <w:t>https://mcp.opencaselaw.ch/entscheid/bger_9C_147_2012</w:t>
      </w:r>
    </w:p>
    <w:p>
      <w:r>
        <w:t>FR: TF 9C_147/2012 du 26 avril 2012</w:t>
      </w:r>
    </w:p>
    <w:p>
      <w:r>
        <w:t>IT: TF 9C_147/2012 del 26 aprile 2012</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in: SVR 2008 IV Nr. 39 S. 131),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wenn durch materiellrechtliche Anordnungen im Rückweisungsentscheid der Beurteilungsspielraum der unteren Instanz wesentlich eingeschränkt wird. Sodann ist für die Verwaltung bzw. den Versicherungsträger ein nicht wieder gutzumachender Nachteil gegeben, wenn diese durch den Rückweisungsentscheid gezwungen werden, eine ihres Erachtens rechtswidrige Verfügung zu treffen. Auch diesfalls braucht nicht der Endentscheid abgewartet zu werden ( BGE 133 V 477 E. 5.2 S. 483 ff.; Urteil 8C_682/2007 vom 30. Juli 2008 E. 1.2.1, nicht publ. in: BGE 134 V 392 , aber in: SVR UV Nr. 31 S. 115; Urteil 8C_272/2011 vom 11. November 2011 E. 1.2 und 1.4; 9C_588/2010 vom 3. November 2010 E. 1.3).</w:t>
      </w:r>
    </w:p>
    <w:p>
      <w:r>
        <w:rPr>
          <w:b/>
        </w:rPr>
        <w:t>E. 1.3</w:t>
      </w:r>
    </w:p>
    <w:p>
      <w:r>
        <w:t>Weist die Vorinstanz die Sache zu weiteren Abklärungen und anschliessender Neuverfügung an die IV-Stelle zurück, weil sie die Aktenlage im Rahmen der Beweiswürdigung als nicht schlüssig betrachtet, liegt praxisgemäss kein nicht wieder gutzumachender Nachteil vor (Urteile 8C_121/2011 vom 30. Juni 2011 E. 3.2 und 9C_605/2011 vom 31. Januar 2012 E. 1.3). Um eine solche Konstellation geht es im Ergebnis im vorliegenden Fall. Das kantonale Gericht hat im angefochtenen Entscheid einzig den Observationsbericht vom 5. Oktober 2009 für beweismässig unverwertbar qualifiziert. Es hat laut Dispositiv die Sache nicht einmal im Sinne der Erwägungen an die IV-Stelle zurückgewiesen. Dispositivmässig hat es lediglich entschieden, die Angelegenheit sei zur Neubeurteilung des Rentenanspruchs, gegebenenfalls zu weiteren Abklärungen, sowie zur neuen Verfügung an die IV-Stelle zurückzuweisen. So hat es auch nicht angeordnet, dass der Observationsbericht aus den Akten zu entfernen ist (Schreiben des Versicherungsgerichts des Kantons St. Gallen vom 20. Januar 2012 an die IV-Stelle). Der IV-Stelle sind daher lediglich in Bezug auf den Observationsbericht (einstweilen) die Hände gebunden. Es steht ihr frei, aufgrund der gegenwärtigen Aktenlage neu zu verfügen, oder vorerst weitere Sachverhaltsabklärungen, insbesondere in medizinischer Hinsicht vorzunehmen. Der angefochtene Rückweisungsentscheid zwingt daher die IV-Stelle nicht, eine rechtswidrige Verfügung zu erlassen. Vielmehr kann sie die Frage der Verwertbarkeit des strittigen Observationsberichts nötigenfalls durch Beschwerde gegen den Endentscheid anfechten, soweit sie sich auf dessen Inhalt auswirkt ( Art. 93 Abs. 3 BGG ; SVR 2010 IV Nr. 61 S. 186, 9C_34/2009 E. 3.3).</w:t>
      </w:r>
    </w:p>
    <w:p>
      <w:r>
        <w:rPr>
          <w:b/>
        </w:rPr>
        <w:t>E. 2</w:t>
      </w:r>
    </w:p>
    <w:p>
      <w:r>
        <w:t>Die Beschwerde ist offensichtlich unzulässig ( Art. 108 Abs. 1 lit. a BGG ), weshalb darauf nicht einzutreten ist. 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