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9C_146/2016 vom 1. März 2016</w:t>
      </w:r>
    </w:p>
    <w:p>
      <w:r>
        <w:t>Bundesgericht, 2016-03-01, DE</w:t>
      </w:r>
    </w:p>
    <w:p>
      <w:r>
        <w:rPr>
          <w:b/>
        </w:rPr>
        <w:t xml:space="preserve">Quelle: </w:t>
      </w:r>
      <w:r>
        <w:t>https://mcp.opencaselaw.ch/entscheid/bger_9C_146_2016</w:t>
      </w:r>
    </w:p>
    <w:p>
      <w:r>
        <w:t>FR: TF 9C_146/2016 du 1 mars 2016</w:t>
      </w:r>
    </w:p>
    <w:p>
      <w:r>
        <w:t>IT: TF 9C_146/2016 del 1 marzo 2016</w:t>
      </w:r>
    </w:p>
    <w:p>
      <w:pPr>
        <w:pStyle w:val="Heading2"/>
      </w:pPr>
      <w:r>
        <w:t>Volltext</w:t>
      </w:r>
    </w:p>
    <w:p>
      <w:r>
        <w:t>Bundesgericht</w:t>
      </w:r>
    </w:p>
    <w:p>
      <w:r>
        <w:t>Tribunal fédéral</w:t>
      </w:r>
    </w:p>
    <w:p>
      <w:r>
        <w:t>Tribunale federale</w:t>
      </w:r>
    </w:p>
    <w:p>
      <w:r>
        <w:t>Tribunal federal</w:t>
      </w:r>
    </w:p>
    <w:p>
      <w:r>
        <w:t>9C_146/2016 {T 0/2}</w:t>
      </w:r>
    </w:p>
    <w:p>
      <w:r>
        <w:t>Urteil vom 1. März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20. Januar 2016.</w:t>
      </w:r>
    </w:p>
    <w:p>
      <w:r>
        <w:t>Nach Einsicht</w:t>
      </w:r>
    </w:p>
    <w:p>
      <w:r>
        <w:t>in die Beschwerde vom 19. Februar 2016 (Datum des Poststempels) gegen den Entscheid des Versicherungsgerichts des Kantons Aargau vom 20. Januar 2016 betreffend Nichteintreten zufolge Nichtbezahlung des einverlangten Kostenvorschusses,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der Beschwerdeführer in keiner Weise darlegt, weshalb die Vorinstanz auf die Beschwerde hätte eintreten sollen,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 März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