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146/2013 vom 20. März 2013</w:t>
      </w:r>
    </w:p>
    <w:p>
      <w:r>
        <w:t>Bundesgericht, 2013-03-20, DE</w:t>
      </w:r>
    </w:p>
    <w:p>
      <w:r>
        <w:rPr>
          <w:b/>
        </w:rPr>
        <w:t xml:space="preserve">Quelle: </w:t>
      </w:r>
      <w:r>
        <w:t>https://mcp.opencaselaw.ch/entscheid/bger_9C_146_2013</w:t>
      </w:r>
    </w:p>
    <w:p>
      <w:r>
        <w:t>FR: TF 9C 146/2013 du 20 mars 2013</w:t>
      </w:r>
    </w:p>
    <w:p>
      <w:r>
        <w:t>IT: TF 9C 146/2013 del 20 marzo 2013</w:t>
      </w:r>
    </w:p>
    <w:p>
      <w:pPr>
        <w:pStyle w:val="Heading2"/>
      </w:pPr>
      <w:r>
        <w:t>Regeste</w:t>
      </w:r>
    </w:p>
    <w:p>
      <w:r>
        <w:t>Invalidenversicherung | Invalidenversicherung</w:t>
      </w:r>
    </w:p>
    <w:p>
      <w:pPr>
        <w:pStyle w:val="Heading2"/>
      </w:pPr>
      <w:r>
        <w:t>Erwägungen</w:t>
      </w:r>
    </w:p>
    <w:p>
      <w:r>
        <w:rPr>
          <w:b/>
        </w:rPr>
        <w:t>E. 1</w:t>
      </w:r>
    </w:p>
    <w:p>
      <w:r>
        <w:t>Das kantonale Gericht erkannte, eine den geltenden Anforderungen genügende Bekanntgabe des (nur indirekt aus den Akten ersichtlichen) Namens des psychiatrischen Gutachters sei nicht erfolgt; insbesondere müsse auch die spätere Bekanntgabe des Namens eines Gutachters in Form einer Verfügung erfolgen, sofern die Durchführung einer Begutachtung oder deren Modalitäten strittig seien ( BGE 137 V 210 E. 3.4.2.8 S. 257). In dieser Hinsicht sei die Beschwerde begründet. Hingegen trat die Vorinstanz auf die Beschwerde nicht ein, soweit die Beschwerdeführerin fachliche Einwendungen erhob und soweit sie die ausdrückliche Benennung der für die Begutachtung relevanten Fachgebiete durch den Regionalen Ärztlichen Dienst der IV, die Vorlage von Facharztlisten und die Einräumung eines Vorschlagsrechts beantragte. Was weitere Rügen zum Recht auf Ergänzungsfragen betreffe, sei die Beschwerde unbegründet. Schliesslich lehnte das kantonale Gericht es ab, eine öffentliche Hauptverhandlung durchzuführen.</w:t>
      </w:r>
    </w:p>
    <w:p>
      <w:r>
        <w:rPr>
          <w:b/>
        </w:rPr>
        <w:t>E. 2.1</w:t>
      </w:r>
    </w:p>
    <w:p>
      <w:r>
        <w:t>Ein Rechtsstreit um Fragen der Anordnung einer Administrativbegutachtung kann nicht vor Bundesgericht getragen werden, sofern der angefochtene Entscheid nicht den Ausstand einer sachverständigen Person im konkreten Fall betrifft (vgl. Art. 90 ff. BGG ; BGE 138 V 271 ). Diese Rechtsprechung betrifft zunächst (polydisziplinäre) MEDAS-Gutachten. Im Zusammenhang mit einer (wie hier) bidisziplinären Expertise sind indessen keine weitergehenden Mitwirkungsrechte (und zu deren Durchsetzung bestimmten Rechtsbehelfe) gegeben. Es liegen keine spezifisch auf den Fall der Beschwerdeführerin bezogene Ablehnungsgründe im Sinne der zitierten Rechtsprechung vor. Formelle Ablehnungsgründe können regelmässig nicht allein mit der Schilderung negativer Erfahrungen bezüglich bestimmter Sachverständigen in früheren Fällen dargetan werden ( BGE 138 V 271 E. 2.2.2 S. 277). Im Übrigen handelt es sich bei den Vorbringen der Beschwerdeführerin um materielle Einwendungen (vgl. BGE a.a.O. E. 1.1 S. 274). Die letztinstanzliche Beschwerde kann daher nicht an die Hand genommen werden.</w:t>
      </w:r>
    </w:p>
    <w:p>
      <w:r>
        <w:rPr>
          <w:b/>
        </w:rPr>
        <w:t>E. 2.2</w:t>
      </w:r>
    </w:p>
    <w:p>
      <w:r>
        <w:t>Damit werden die Anträge bezüglich Wiederherstellung der Beschwerdefrist (respektive Durchführung eines zweiten Schriftenwechsels) gegenstandslos.</w:t>
      </w:r>
    </w:p>
    <w:p>
      <w:r>
        <w:rPr>
          <w:b/>
        </w:rPr>
        <w:t>E. 3</w:t>
      </w:r>
    </w:p>
    <w:p>
      <w:r>
        <w:t>Dem Ausgang des Verfahrens entsprechend wird die Beschwerdeführerin kostenpflichtig. Die Erledigung im vereinfachten Verfahren ( Art. 108 Abs. 1 lit. a und Abs. 2 BGG ) führt zu reduzierten Gerichtskosten ( Art. 66 Abs. 1 BGG ; vgl.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