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9C_146/2009 vom 29. April 2009</w:t>
      </w:r>
    </w:p>
    <w:p>
      <w:r>
        <w:t>Bundesgericht, 2009-04-29, FR</w:t>
      </w:r>
    </w:p>
    <w:p>
      <w:r>
        <w:rPr>
          <w:b/>
        </w:rPr>
        <w:t xml:space="preserve">Quelle: </w:t>
      </w:r>
      <w:r>
        <w:t>https://mcp.opencaselaw.ch/entscheid/bger_9C_146_2009</w:t>
      </w:r>
    </w:p>
    <w:p>
      <w:r>
        <w:t>FR: TF 9C_146/2009 du 29 avril 2009</w:t>
      </w:r>
    </w:p>
    <w:p>
      <w:r>
        <w:t>IT: TF 9C_146/2009 del 29 aprile 2009</w:t>
      </w:r>
    </w:p>
    <w:p>
      <w:pPr>
        <w:pStyle w:val="Heading2"/>
      </w:pPr>
      <w:r>
        <w:t>Erwägungen</w:t>
      </w:r>
    </w:p>
    <w:p>
      <w:r>
        <w:rPr>
          <w:b/>
        </w:rPr>
        <w:t>E. 1</w:t>
      </w:r>
    </w:p>
    <w:p>
      <w:r>
        <w:t>Est seul litigieux le point de savoir si la recourante, au moment déterminant de la décision administrative du 2 octobre 2006, présentait un état dépressif chronique excluant par sa constance et sa sévérité toute activité lucrative ou si elle souffrait uniquement d'un syndrome douloureux somatoforme persistant qui lui permettait encore de mettre à profit sa capacité résiduelle de travail dans une mesure excluant tout droit à une rente d'invalidité ( art. 6, 7 et 8 LPGA en liaison avec les art. 4 et 28 LAI dans leur version en vigueur jusqu'au 31 décembre 2007).</w:t>
      </w:r>
    </w:p>
    <w:p>
      <w:r>
        <w:rPr>
          <w:b/>
        </w:rPr>
        <w:t>E. 2.1</w:t>
      </w:r>
    </w:p>
    <w:p>
      <w:r>
        <w:t>Le Tribunal cantonal, examinant si l'on est en présence d'une atteinte psychique invalidante dans le cas d'espèce, a résumé au consid. 3a de l'arrêt attaqué les pièces d'ordre médical du dossier, dont notamment les deux expertises contradictoires. Au consid. 3b du jugement entrepris, il a dûment motivé les raisons pour lesquelles il se ralliait aux conclusions du rapport d'expertise interdisciplinaire du 18 juillet 2006, qui remplissait les critères jurisprudentiels ( ATF 125 V 351 consid. 3a p. 352) permettant de reconnaître aux rapports médicaux pleine valeur probante, et non à l'appréciation psychiatrique du docteur L.________ exprimée dans son rapport du 15 avril 2005 et confirmée dans les compléments des 21 septembre et 12 octobre 2005. Il ne peut donc être reproché à la juridiction de première instance une violation du principe de la libre appréciation des preuves ( art. 61 let . c in fine LPGA en liaison avec les art. 95 let. a et 105 al. 2 LTF ; ATF 132 V 393 consid. 4.1 p. 400).</w:t>
      </w:r>
    </w:p>
    <w:p>
      <w:r>
        <w:rPr>
          <w:b/>
        </w:rPr>
        <w:t>E. 2.2</w:t>
      </w:r>
    </w:p>
    <w:p>
      <w:r>
        <w:t>L'argumentation développée par la recourante en instance fédérale perd totalement de vue que les antécédents négatifs (périodes de douleurs déjà vécues, épisodes dépressifs avec tentative de suicide en 1996, immigration en Suisse comme personne analphabète avec longue séparation de l'une de ses filles jumelles, etc.) n'ont pas empêché la recourante d'exercer une activité lucrative en-dehors de chez elle depuis 1999 jusqu'au 24 juin 2003 (une semaine après son accident). D'autre part, les signes de tristesse et la disthymie constatés par le docteur A.________ et les pleurs pendant l'examen clinique du 7 mars 2006, même s'ils n'ont pas été discutés plus avant dans l'appréciation médicale finale, ne constituent de loin pas une dépression grave, apte à entraver de façon permanente l'assurée dans la mise à profit de ses capacités fonctionnelles et des ressources psychiques qui sont les siennes, restées intactes dans une large mesure ( ATF 130 V 352 consid. 3.3.1 in fine p. 358 et la référence).</w:t>
      </w:r>
    </w:p>
    <w:p>
      <w:r>
        <w:t>Les autres arguments avancés par la recourante ne changent rien au fait que le tableau clinique esquissé par le docteur L.________ pour retenir une dépression de degré modéré à sévère excluant toute possibilité de reprendre un travail est peu abondant, voire insuffisant. Au contraire, les facteurs socioculturels et psychosociaux (in casu, les difficultés financières déclenchent et entretiennent aussi le processus dépressif) - auxquels l'assurance-invalidité n'a pas à répondre - sont au premier plan, ce qui justifie une grande retenue en ce qui concerne le point de savoir si l'on est en présence d'un état dépressif invalidant ( ATF 127 V 294 consid. 5a p. 299).</w:t>
      </w:r>
    </w:p>
    <w:p>
      <w:r>
        <w:t>Quoi qu'il en soit, l'on ne peut pas, en l'état du dossier, reprocher à la juridiction cantonale d'avoir constaté l'état de santé de la recourante de façon manifestement inexacte ou d'avoir apprécié les preuves de manière arbitraire. Le sort du litige serait différent si l'expertise élaborée par le docteur L.________ remplissait les critères jurisprudentiels ( ATF 125 V 351 consid. 3a p. 352) permettant de reconnaître au rapport médical pleine force probante, car dans ce cas le fait que l'office AI a poursuivi des investigations sur le plan médico-psychiatrique aurait constitué un abus de droit incompatible avec la neutralité et l'objectivité auxquelles l'administration doit s'attacher dans l'instruction d'un cas d'assurance selon le principe inquisitoire ( art. 43 LPGA ; ATF 104 V 209 let. c p. 211 s.).</w:t>
      </w:r>
    </w:p>
    <w:p>
      <w:r>
        <w:rPr>
          <w:b/>
        </w:rPr>
        <w:t>E. 3</w:t>
      </w:r>
    </w:p>
    <w:p>
      <w:r>
        <w:t>Cela étant, le grief de violation de l' art. 16 LPGA tombe à faux dans la mesure où par une comparaison des revenus en pour-cent ( ATF 114 V 310 consid. 3a p. 313, 104 V 135 consid. 2b p. 136 s.), on peut d'emblée exclure une diminution de la capacité de gain de 40 % au moins.</w:t>
      </w:r>
    </w:p>
    <w:p>
      <w:r>
        <w:rPr>
          <w:b/>
        </w:rPr>
        <w:t>E. 4</w:t>
      </w:r>
    </w:p>
    <w:p>
      <w:r>
        <w:t>La décision de refus de rente du 2 octobre 2006 ne se prononce pas sur l'octroi de mesures d'ordre professionnel (art. 15 s. LAI). La conclusion subsidiaire de la recourante n'est pas admissible, dans la mesure où elle peut être comprise comme une demande tendant à l'allocation de telles mesures. Rien ne l'empêche de s'adresser à l'intimé pour son intégration professionnelle, compte tenu du degré d'invalidité de 34 % retenu par les premiers juges.</w:t>
      </w:r>
    </w:p>
    <w:p>
      <w:r>
        <w:rPr>
          <w:b/>
        </w:rPr>
        <w:t>E. 5</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