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146/2007 vom 20. Juli 2007</w:t>
      </w:r>
    </w:p>
    <w:p>
      <w:r>
        <w:t>Bundesgericht, 2007-07-20, DE</w:t>
      </w:r>
    </w:p>
    <w:p>
      <w:r>
        <w:rPr>
          <w:b/>
        </w:rPr>
        <w:t xml:space="preserve">Quelle: </w:t>
      </w:r>
      <w:r>
        <w:t>https://mcp.opencaselaw.ch/entscheid/bger_9C_146_2007</w:t>
      </w:r>
    </w:p>
    <w:p>
      <w:r>
        <w:t>FR: TF 9C 146/2007 du 20 juillet 2007</w:t>
      </w:r>
    </w:p>
    <w:p>
      <w:r>
        <w:t>IT: TF 9C 146/2007 del 20 luglio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w:t>
      </w:r>
    </w:p>
    <w:p>
      <w:r>
        <w:t>Das kantonale Urteil lautet auf Rückweisung und ist damit als Zwischenentscheid zu qualifizieren, der unter den Voraussetzungen gemäss Art. 93 BGG anfechtbar ist. Der Zulässigkeitstatbestand gemäss Abs. 1 lit. a dieser Bestimmung (nicht wieder gutzumachender Nachteil) ist nur erfüllt, wenn das Rückweisungsurteil durch materielle Vorgaben den Beurteilungsspielraum der unteren Instanz wesentlich einschränkt und davon in der Folge nicht mehr abgewichen werden kann ( BGE 129 I 313 E. 3.2 S. 317). So verhält es sich hier aber nicht, weil die Vorinstanz die Beschwerdeführerin nur wegen Unklarheiten in der Sachverhaltserhebung angewiesen hat, ergänzende Abklärungen zu treffen, ohne materielle Vorgaben zu machen. Ob dieser oder der Eintretensgrund gemäss Art. 93 Abs. 1 lit. b BGG (Vermeidung unnötigen Verfahrensaufwandes) gegeben sei - was bejahendenfalls bei beschwerdeweise einzig kritisierten Sachverhaltswürdigungen im Hinblick auf die Kognition (E. 1) regelmässig zu Abweisungen führte, womit der damit bezweckte Nutzen doch nicht einträte -, ist eher zu verneinen, kann aber für dermalen offen bleiben, da die Beschwerde ohnehin als offensichtlich unbegründet abzuweisen ist (E. 4).</w:t>
      </w:r>
    </w:p>
    <w:p>
      <w:r>
        <w:rPr>
          <w:b/>
        </w:rPr>
        <w:t>E. 3</w:t>
      </w:r>
    </w:p>
    <w:p>
      <w:r>
        <w:t>Die Vorinstanz hat in pflichtgemässer Würdigung der gesamten Aktenlage, insbesondere unter Berücksichtigung des Berichts des Psychiaters Dr. med. H.________ vom 6. September 2006, mit einlässlicher und nachvollziehbarer Begründung erkannt, es seien weitere Abklärungen hinsichtlich Beginn und Ausmass der Arbeitsunfähigkeit notwendig. Zu dieser Auffassung gelangte sie namentlich, weil zwischen den Beurteilungen des Dr. med. H.________ und dem Gutachten des Psychiaters Dr. med. W.________ vom 22. Juni 2004 eine erhebliche Diskrepanz bestand: Während Dr. med. H.________ in Bezug auf den Beginn der Arbeitsunfähigkeit annahm, diese bestehe "seit mindestens 1990", ging Dr. med. W.________ von einem erheblich späteren Zeitpunkt, dem 1. April 2004, aus. Unterschiedlich sind weiter die Einschätzungen hinsichtlich des noch zumutbaren Arbeitsumfangs in einer angepassten Tätigkeit. Gemäss Dr. med. H.________ besteht eine Arbeitsunfähigkeit von 50 % (nicht auf dem allgemeinen Arbeitsmarkt, nicht selbstständige Arbeit, sondern Tätigkeit im Team, ohne Überforderung durch zeitlichen Druck, Kontrolle der Abläufe durch Versicherten), nach Dr. med. W.________ eine solche von 70 bis 80 % (bei fest umschriebenem Arbeitsrahmen ohne zeitlich allzu grossen Druck). Entgegen den Einwänden der Beschwerdeführerin durfte sich die Vorinstanz aufgrund der neuen Hinweise im Bericht des Dr. med. H.________ zu weiteren sachverhaltlichen Abklärungen veranlasst sehen, ohne dabei Bundesrecht zu verletzen. Denn sowohl der Hinweis auf die Entlassung aus der Armee zufolge psychischer Probleme im Jahr 1990 als auch derjenige auf die mehreren stationären Aufenthalte zwecks Behandlung seiner Alkoholkrankheit seit 1998 wecken erhebliche Zweifel an der Darstellung des Dr. med. W.________, wonach eine Einschränkung der Leistungsfähigkeit erst seit 1. April 2004 bestehe, zumal nicht einsichtig wird, auf welcher Basis der Psychiater diesen Zeitpunkt als massgebend erachtet. Im Übrigen sind die auf (antizipierter) Beweiswürdigung beruhenden Schlussfolgerungen des kantonalen Gerichts keinesfalls offensichtlich unrichtig, sodass das Bundesgericht daran gebunden und die Rüge, die Vorinstanz sei "zu einem nicht nachvollziehbaren Beweisergebnis gelangt", unbehelflich ist.</w:t>
      </w:r>
    </w:p>
    <w:p>
      <w:r>
        <w:rPr>
          <w:b/>
        </w:rPr>
        <w:t>E. 4</w:t>
      </w:r>
    </w:p>
    <w:p>
      <w:r>
        <w:t>Die Beschwerde hatte keine Aussicht auf Erfolg, weshalb sie, soweit zulässig,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