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9C_145/2018 vom 21. Februar 2018</w:t>
      </w:r>
    </w:p>
    <w:p>
      <w:r>
        <w:t>Bundesgericht, 2018-02-21, DE</w:t>
      </w:r>
    </w:p>
    <w:p>
      <w:r>
        <w:rPr>
          <w:b/>
        </w:rPr>
        <w:t xml:space="preserve">Quelle: </w:t>
      </w:r>
      <w:r>
        <w:t>https://mcp.opencaselaw.ch/entscheid/bger_9C_145_2018</w:t>
      </w:r>
    </w:p>
    <w:p>
      <w:r>
        <w:t>FR: TF 9C_145/2018 du 21 février 2018</w:t>
      </w:r>
    </w:p>
    <w:p>
      <w:r>
        <w:t>IT: TF 9C_145/2018 del 21 febbraio 2018</w:t>
      </w:r>
    </w:p>
    <w:p>
      <w:pPr>
        <w:pStyle w:val="Heading2"/>
      </w:pPr>
      <w:r>
        <w:t>Volltext</w:t>
      </w:r>
    </w:p>
    <w:p>
      <w:r>
        <w:t>Bundesgericht</w:t>
      </w:r>
    </w:p>
    <w:p>
      <w:r>
        <w:t>Tribunal fédéral</w:t>
      </w:r>
    </w:p>
    <w:p>
      <w:r>
        <w:t>Tribunale federale</w:t>
      </w:r>
    </w:p>
    <w:p>
      <w:r>
        <w:t>Tribunal federal</w:t>
      </w:r>
    </w:p>
    <w:p>
      <w:r>
        <w:t>9C_145/2018</w:t>
      </w:r>
    </w:p>
    <w:p>
      <w:r>
        <w:t>Urteil vom 21. Februar 2018</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Ausgleichskasse Zug,</w:t>
      </w:r>
    </w:p>
    <w:p>
      <w:r>
        <w:t>Baarerstrasse 11, 6300 Zug,</w:t>
      </w:r>
    </w:p>
    <w:p>
      <w:r>
        <w:t>Beschwerdegegnerin.</w:t>
      </w:r>
    </w:p>
    <w:p>
      <w:r>
        <w:t>Gegenstand</w:t>
      </w:r>
    </w:p>
    <w:p>
      <w:r>
        <w:t>Ergänzungsleistung zur AHV/IV,</w:t>
      </w:r>
    </w:p>
    <w:p>
      <w:r>
        <w:t>Beschwerde gegen den Entscheid des Verwaltungsgerichts des Kantons Zug</w:t>
      </w:r>
    </w:p>
    <w:p>
      <w:r>
        <w:t>vom 12. Dezember 2017 (S 2017 113).</w:t>
      </w:r>
    </w:p>
    <w:p>
      <w:r>
        <w:t>Nach Einsicht</w:t>
      </w:r>
    </w:p>
    <w:p>
      <w:r>
        <w:t>in die Beschwerde vom 7. Februar 2018 (Poststempel) gegen den Entscheid des Verwaltungsgerichts des Kantons Zug vom 12. Dezember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worin eine Verletzung von Bundesrecht liegt ( BGE 140 III 86 E. 2 S. 88 f.; 134 V 53 E. 3.3 S. 60), während eine rein appellatorische Kritik nicht genügt (vgl. BGE 140 III 264 E. 2.3 S. 266),</w:t>
      </w:r>
    </w:p>
    <w:p>
      <w:r>
        <w:t>dass die Eingabe des Beschwerdeführers diesen gesetzlichen Mindestanforderungen an eine hinreichende Beschwerdebegründung offensichtlich nicht genügt, da ihr keine inhaltliche Auseinandersetzung mit der entscheidwesentlichen Erwägung der Vorinstanz zu entnehmen ist, wonach bei Vornahme einer Schenkung ein sogenanntes Verzichtsvermögen anzurechnen sei um zu verhindern, dass potenzielle Leistungsansprecher zu Lasten der Versichertengemeinschaft freiwillig auf Vermögenswerte verzichten mit der finalen Absicht, die staatliche Sozialversicherung werde dann in die Lücke springen,</w:t>
      </w:r>
    </w:p>
    <w:p>
      <w:r>
        <w:t>dass der Beschwerdeführer auch nicht substanziiert aufzeigt, inwiefern die Vorinstanz die Höhe der anerkannten Ausgaben rechtsfehlerhaft festgelegt haben soll, indem sie von einem Vier- statt Dreipersonenhaushalt ausging,</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Zug und dem Bundesamt für Sozialversicherungen schriftlich mitgeteilt.</w:t>
      </w:r>
    </w:p>
    <w:p>
      <w:r>
        <w:t>Luzern, 21. Februar 2018</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