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145/2012 vom 17. April 2012</w:t>
      </w:r>
    </w:p>
    <w:p>
      <w:r>
        <w:t>Bundesgericht, 2012-04-17, DE</w:t>
      </w:r>
    </w:p>
    <w:p>
      <w:r>
        <w:rPr>
          <w:b/>
        </w:rPr>
        <w:t xml:space="preserve">Quelle: </w:t>
      </w:r>
      <w:r>
        <w:t>https://mcp.opencaselaw.ch/entscheid/bger_9C_145_2012</w:t>
      </w:r>
    </w:p>
    <w:p>
      <w:r>
        <w:t>FR: TF 9C 145/2012 du 17 avril 2012</w:t>
      </w:r>
    </w:p>
    <w:p>
      <w:r>
        <w:t>IT: TF 9C 145/2012 del 17 aprile 2012</w:t>
      </w:r>
    </w:p>
    <w:p>
      <w:pPr>
        <w:pStyle w:val="Heading2"/>
      </w:pPr>
      <w:r>
        <w:t>Regeste</w:t>
      </w:r>
    </w:p>
    <w:p>
      <w:r>
        <w:t>Invalidenversicherung (Invalidenrente)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Umstritten ist, ob sich der Gesundheitszustand des Beschwerdeführers anspruchserheblich ( Art. 17 Abs. 1 ATSG ; BGE 133 V 108 E. 5.4 S. 114) verbessert hat und die revisionsweise Aufhebung der seit 1. Februar 2000 ausgerichteten Invalidenrente auf den 31. Oktober 2011 rechtmässig ist.</w:t>
      </w:r>
    </w:p>
    <w:p>
      <w:r>
        <w:rPr>
          <w:b/>
        </w:rPr>
        <w:t>E. 2.1</w:t>
      </w:r>
    </w:p>
    <w:p>
      <w:r>
        <w:t>Gemäss Art. 42 Abs. 2 Satz 1 BGG ist in der Begründung der Beschwerde in gedrängter Form darzulegen, inwiefern der angefochtene Akt Recht verletzt. Dieser inhaltlichen Mindestanforderung genügt das vorliegende Rechtsmittel in weiten Teilen nicht: So kann den Ausführungen nicht entnommen werden, inwiefern die Sachverhaltsfeststellung der Vorinstanz offensichtlich unrichtig ist und die darauf beruhenden Erwägungen rechtsfehlerhaft sein sollen ( Art. 97 Abs. 1 BGG ). Die Vorbringen beschränken sich im Wesentlichen auf die Wiedergabe des in der vorinstanzlichen Beschwerde vom 6. Oktober 2011 Ausgeführten, was im Rahmen von Art. 97 Abs. 1 und Art. 105 Abs. 1 und 2 BGG nicht ausreicht. Soweit bereits vorgebrachte Beanstandungen wiederholt werden, wird auf die entsprechenden Erwägungen im angefochtenen Gerichtsentscheid verwiesen ( Art. 109 Abs. 3 BGG ).</w:t>
      </w:r>
    </w:p>
    <w:p>
      <w:r>
        <w:rPr>
          <w:b/>
        </w:rPr>
        <w:t>E. 2.2</w:t>
      </w:r>
    </w:p>
    <w:p>
      <w:r>
        <w:t>Gegen die vorinstanzliche Entscheidbegründung bringt der Beschwerdeführer im Grunde einzig vor, es sei unerörtert geblieben, warum das Gutachten des medizinischen Instituts X.________ vom 18. Januar 2002 nicht mangelhaft war und darum eine Wiedererwägung unstatthaft sei. Für das zur Klärung dieser Frage beantragte Obergutachten besteht kein Anlass. Die vorinstanzlichen Feststellungen sind im allein massgeblichen rentenrevisionsrechtlichen Kontext weder offensichtlich unrichtig noch willkürlich (vorne E. 1.1). Wie die Vorinstanz mit Recht erwogen hat, kann auch bei einem grundsätzlich unveränderten Gesundheitszustand im Laufe der Zeit eine Verbesserung der Arbeitsfähigkeit erreicht werden. Das ist hier der Fall. Denn aufgrund der umfassenden Abklärungen der medizinischen Begutachtungsstelle Y.________ ist schlüssig erstellt, dass der Beschwerdeführer trotz seiner nach wie vor bestehenden leidensbedingten Einschränkungen spätestens seit Februar 2011 in einer angepassten Tätigkeit wieder zu 80 % arbeitsfähig ist.</w:t>
      </w:r>
    </w:p>
    <w:p>
      <w:r>
        <w:rPr>
          <w:b/>
        </w:rPr>
        <w:t>E. 3</w:t>
      </w:r>
    </w:p>
    <w:p>
      <w:r>
        <w:t>Auch zur beantragten Gewährung von Eingliederungsmassnahmen wird schon Vorgebrachtes zitiert, ohne dass dabei auf (allfällige) Mängel der vorinstanzlichen Ausführungen hingewiesen wird. Die betreffenden Erwägungen halten sich zur Frage der Wiedereingliederung nach einem Rentenbezug an die Rechtsprechung (Urteile 9C_163/2009 vom 10. September 2010 E. 4.2.1 und 9C_228/2010 vom 28. April 2011 E. 3.3 f.). Auch dazu kann auf den angefochtenen Entscheid verwiesen werden ( Art. 109 Abs. 3 BGG ).</w:t>
      </w:r>
    </w:p>
    <w:p>
      <w:r>
        <w:rPr>
          <w:b/>
        </w:rPr>
        <w:t>E. 4</w:t>
      </w:r>
    </w:p>
    <w:p>
      <w:r>
        <w:t>Die Beschwerde hatte keine Aussicht auf Erfolg, weshalb sie im vereinfachten Verfahren nach Art. 109 BGG als offensichtlich unbegründet (Abs. 2 lit. a) ohne Durchführung des Schriftenwechsels und mit summarischer Begründung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