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9C_144/2019 vom 26. September 2019</w:t>
      </w:r>
    </w:p>
    <w:p>
      <w:r>
        <w:t>Bundesgericht, 2019-09-26, DE</w:t>
      </w:r>
    </w:p>
    <w:p>
      <w:r>
        <w:rPr>
          <w:b/>
        </w:rPr>
        <w:t xml:space="preserve">Quelle: </w:t>
      </w:r>
      <w:r>
        <w:t>https://mcp.opencaselaw.ch/entscheid/bger_9C_144_2019</w:t>
      </w:r>
    </w:p>
    <w:p>
      <w:r>
        <w:t>FR: TF 9C_144/2019 du 26 septembre 2019</w:t>
      </w:r>
    </w:p>
    <w:p>
      <w:r>
        <w:t>IT: TF 9C_144/2019 del 26 settembre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Mit dem Entscheid in der Sache wird das Gesuch der IV-Stelle um aufschiebende Wirkung der Beschwerde gegenstandslos.</w:t>
      </w:r>
    </w:p>
    <w:p>
      <w:r>
        <w:rPr>
          <w:b/>
        </w:rPr>
        <w:t>E. 4</w:t>
      </w:r>
    </w:p>
    <w:p>
      <w:r>
        <w:t>Dem Verfahrensausgang entsprechend sind die Gerichtskosten dem unterliegenden Beschwerdegegner aufzuerlegen ( Art. 66 Abs. 1 Satz 1 BGG ). Seinem Gesuch um unentgeltliche Prozessführung kann jedoch entsprochen werden ( Art. 64 BGG ). Er hat der Bundesgerichtskasse Ersatz zu leisten, wenn er später dazu in der Lage ist ( Art. 64 Abs. 4 BGG ).</w:t>
      </w:r>
    </w:p>
    <w:p>
      <w:r>
        <w:t>Das Bundesgericht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