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144/2009 vom 16. Dezember 2009</w:t>
      </w:r>
    </w:p>
    <w:p>
      <w:r>
        <w:t>Bundesgericht, 2009-12-16, DE</w:t>
      </w:r>
    </w:p>
    <w:p>
      <w:r>
        <w:rPr>
          <w:b/>
        </w:rPr>
        <w:t xml:space="preserve">Quelle: </w:t>
      </w:r>
      <w:r>
        <w:t>https://mcp.opencaselaw.ch/entscheid/bger_9C_144_2009</w:t>
      </w:r>
    </w:p>
    <w:p>
      <w:r>
        <w:t>FR: TF 9C 144/2009 du 16 décembre 2009</w:t>
      </w:r>
    </w:p>
    <w:p>
      <w:r>
        <w:t>IT: TF 9C 144/2009 del 16 dicembre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Die Vorinstanz hat die gesetzlichen Bestimmungen und von der Rechtsprechung entwickelten Grundsätze richtig dargelegt. Hierauf wird verwiesen.</w:t>
      </w:r>
    </w:p>
    <w:p>
      <w:r>
        <w:rPr>
          <w:b/>
        </w:rPr>
        <w:t>E. 2</w:t>
      </w:r>
    </w:p>
    <w:p>
      <w:r>
        <w:t>Der Beschwerdeführer macht geltend, seine gesundheitlichen Probleme hätten bereits im Jahr 2002 bestanden und seien immer schlimmer geworden. Ab 2004 hätten sie begonnen, sich auch deutlich auf seine Arbeitsfähigkeit auszuwirken. Verwaltung und Vorinstanz hätten den Invaliditätsgrad zu Unrecht in Anwendung der allgemeinen Methode des Einkommensvergleichs und nicht aufgrund des ausserordentlichen Bemessungsverfahrens des Betätigungsvergleichs mit erwerblicher Gewichtung festgestellt, wobei die Wahl der anwendbaren Methode der Invaliditätsbemessung eine Rechtsfrage beschlage. Die Feststellung der Vorinstanz, eine bereits ab dem Jahr 2004 bestehende körperliche Einschränkung bzw. Beeinträchtigung der Arbeitsfähigkeit lasse sich aus den dürftigen Akten über diesen Zeitraum nicht belegen, bedeute eine offensichtlich unrichtige bzw. unvollständige Sachverhaltsfeststellung. Dem beiliegenden Bericht des Dr. S.________ vom 10. Februar 2009 könne entnommen werden, wie sich die Krankengeschichte entwickelt hat. Dabei sei überwiegend wahrscheinlich, dass eine körperliche Einschränkung bzw. Beeinträchtigung der Arbeitsfähigkeit bereits ab dem Jahr 2004 bestanden habe. Die Feststellungen der Verwaltung würden somit das Erfordernis des Beweismasses der überwiegenden Wahrscheinlichkeit verletzen, was vom Bundesgericht mit voller Kognition zu überprüfen sei. Aufgrund der Aktenlage sei klarerweise erstellt, dass das Geschäft des Beschwerdeführers erst mit dem Beginn der gesundheitlichen Auswirkungen auf die Arbeitsfähigkeit nicht mehr gut gelaufen sei. Massgebend für das Valideneinkommen sei demzufolge der betriebliche Bruttogewinn. Da der Verlust in den einzelnen Jahresabschlüssen zu einem grossen Teil "behinderungsbedingt" zustande gekommen sei, wäre es offensichtlich unrichtig und rechtswidrig, wenn man den Verlust der Aktiengesellschaft beim Valideneinkommen miteinbeziehen würde. Schliesslich stelle auch der fehlende Beizug eines IK-Auszugs eine unvollständige Sachverhaltsfeststellung dar und entspreche daher einer Verletzung des Untersuchungsgrundsatzes. Selbst wenn man vom Zeitraum 2001 bis 2003 ausgehe, resultiere aus der Gegenüberstellung eines hypothetischen Invalideneinkommens von höchstens Fr. 52'000 auf der einen und des Valideneinkommens von mindestens Fr. 97'360.- auf der anderen Seite ein Mindereinkommen von Fr. 45'360.- und damit ein Invaliditätsgrad von immerhin 47 %, welcher den Anspruch auf eine Viertelsrente begründe.</w:t>
      </w:r>
    </w:p>
    <w:p>
      <w:r>
        <w:rPr>
          <w:b/>
        </w:rPr>
        <w:t>E. 3</w:t>
      </w:r>
    </w:p>
    <w:p>
      <w:r>
        <w:t>Demgegenüber setzt sich die IV-Stelle in ihrer Vernehmlassung zur Beschwerde mit den Einwendungen des Beschwerdeführers auseinander und zeigt unter Hinweis auf die medizinischen Unterlagen und den Abklärungsbericht für Selbstständigerwerbende auf, dass die Argumente des Beschwerdeführers unbegründet sind. Dies gilt einerseits hinsichtlich der ärztlichen Fachmeinungen, welche von einer erheblichen und andauernden Einschränkung des Gesundheitszustandes des Versicherten erst ab Februar 2006 ausgehen: Nicht nur die Ärzte Dres. med. A.________, W.________ und G.________, sondern auch Hausarzt Dr. med. S.________ attestieren eine massgebliche Einschränkung der Arbeitsfähigkeit erst ab 2006. Wenn sodann die umfangreichen, mehrere Jahre erfassenden Buchhaltungsunterlagen die Firma R.________ AG, Verwaltung und Vorinstanz dazu veranlasst haben, den Invaliditätsgrad in Anwendung des Einkommensvergleichs und nicht aufgrund des beantragten ausserordentlichen Bemessungsverfahrens (Betätigungsvergleichs mit erwerblicher Gewichtung) zu ermitteln, liegt darin keine Bundesrechtsverletzung. In der Tat sind genügend zuverlässige Zahlen für einen Einkommensvergleich vorhanden. Deren Aufarbeitung und Interpretation durch den Abklärungsbericht für Selbstständigerwerbende vom 9. Mai 2008 erscheint als fachgerecht und nachvollziehbar. Jedenfalls vermag keines der Vorbringen der Beschwerde die darauf gestützte Festlegung des Valideneinkommens auf Fr. 76'646.- als offensichtlich unrichtig darzutun (E. 1). Zudem ist im Rahmen der Einkommensvergleichsmethode der von einer Aktiengesellschaft erwirtschaftete Betriebsgewinn u.a. deshalb nicht einfach dem Erwerbseinkommen des geschäftsführenden Alleinaktionärs (unter Aufrechnung des bezogenen Eigenlohnes) gleichzusetzen, weil diesem dadurch auch jener Teil des Betriebsgewinnes zugerechnet würde, welcher nach den zwingenden aktienrechtlichen Vorschriften als Reservekapital in der Gesellschaft verbleiben muss und gar nicht als Dividende ausgeschüttet werden darf (Urteil S. vom 18. Januar 2000, I 5/99, E. 3b/bb). Der angefochtene Entscheid, auf welchen verwiesen wird, beruht somit weder auf einer offensichtlich unrichtigen noch unvollständigen Feststellung des rechtserheblichen Sachverhalts, noch verstösst er sonstwie gegen Bundesrecht. Für die letztinstanzlich im Eventualbegehren verlangte Rückweisung an die IV-Stelle bleibt kein Raum.</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