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143/2022 vom 8. Juni 2022</w:t>
      </w:r>
    </w:p>
    <w:p>
      <w:r>
        <w:t>Bundesgericht, 2022-06-08, DE</w:t>
      </w:r>
    </w:p>
    <w:p>
      <w:r>
        <w:rPr>
          <w:b/>
        </w:rPr>
        <w:t xml:space="preserve">Quelle: </w:t>
      </w:r>
      <w:r>
        <w:t>https://mcp.opencaselaw.ch/entscheid/bger_9C_143_2022</w:t>
      </w:r>
    </w:p>
    <w:p>
      <w:r>
        <w:t>FR: TF 9C 143/2022 du 8 juin 2022</w:t>
      </w:r>
    </w:p>
    <w:p>
      <w:r>
        <w:t>IT: TF 9C 143/2022 del 8 giugno 2022</w:t>
      </w:r>
    </w:p>
    <w:p>
      <w:pPr>
        <w:pStyle w:val="Heading2"/>
      </w:pPr>
      <w:r>
        <w:t>Regeste</w:t>
      </w:r>
    </w:p>
    <w:p>
      <w:r>
        <w:t>Erwerbsersatz für Dienstleistende und bei Mutterschaft | Erwerbersatzordnung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 und dem Bundesamt für Sozialversicherungen schriftlich mitgeteilt. Luzern, 8. Juni 2022 Im Namen der II. sozialrechtlichen Abteilung des Schweizerischen Bundesgerichts Der Präsident: Parrino 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