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9C_143/2019 vom 14. Mai 2019</w:t>
      </w:r>
    </w:p>
    <w:p>
      <w:r>
        <w:t>Bundesgericht, 2019-05-14, DE</w:t>
      </w:r>
    </w:p>
    <w:p>
      <w:r>
        <w:rPr>
          <w:b/>
        </w:rPr>
        <w:t xml:space="preserve">Quelle: </w:t>
      </w:r>
      <w:r>
        <w:t>https://mcp.opencaselaw.ch/entscheid/bger_9C_143_2019</w:t>
      </w:r>
    </w:p>
    <w:p>
      <w:r>
        <w:t>FR: TF 9C_143/2019 du 14 mai 2019</w:t>
      </w:r>
    </w:p>
    <w:p>
      <w:r>
        <w:t>IT: TF 9C_143/2019 del 14 maggio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die Begriffe der Arbeitsunfähigkeit ( Art. 6 ATSG ) und der Invalidität ( Art. 8 ATSG ), den dem Invaliditätsgrad entsprechend abgestuften Anspruch auf eine Invalidenrente ( Art. 28 Abs. 1 und Abs. 2 IVG ), und die Bemessung des Invaliditätsgrades bei erwerbstätigen Versicherten nach der Einkommensvergleichsmethode ( Art. 16 ATSG ) zutreffend wiedergegeben. Darauf wird verwiesen.</w:t>
      </w:r>
    </w:p>
    <w:p>
      <w:r>
        <w:rPr>
          <w:b/>
        </w:rPr>
        <w:t>E. 3.1</w:t>
      </w:r>
    </w:p>
    <w:p>
      <w:r>
        <w:t>In medizinischer Hinsicht stützte sich das kantonale Gericht hauptsächlich auf die Berichte der Dr. med. C.________, Physikalische und Rehabilitative Medizin FMH, Regionaler Ärztlicher Dienst (RAD), vom 12. September und 27. Dezember 2017. Danach liegen reine Unfallfolgen vor, wobei der Versicherte als Gabelstaplerfahrer nicht mehr arbeitsfähig ist. Hingegen wäre er zumutbarerweise in der Lage, eine den Beschwerden im rechten Handgelenk optimal angepasste Erwerbstätigkeit zu 100 % auszuüben. Die Vorinstanz erachtete diese Aussagen der RAD-Ärztin als voll beweiskräftig und sah davon ab, ein verwaltungsexternes Gutachten anzuordnen.</w:t>
      </w:r>
    </w:p>
    <w:p>
      <w:r>
        <w:rPr>
          <w:b/>
        </w:rPr>
        <w:t>E. 3.2</w:t>
      </w:r>
    </w:p>
    <w:p>
      <w:r>
        <w:t>Der Beschwerdeführer wendet ein, die Vorinstanz habe den Untersuchungsgrundsatz verletzt, indem sie für ihre Beurteilung ausschliesslich auf die Unfallakten abgestellt und die medizinischen Berichte aus dem Unfallversicherungsverfahren gewürdigt hat. Da sich aus den Arztberichten Anhaltspunkte für zusätzliche Einschränkungen aufgrund unfallfremder Leiden ergäben, bestehe im Verfahren der Invalidenversicherung die Pflicht zur Vornahme zusätzlicher Abklärungen. So stünden eine Allodynie und degenerative Veränderungen des Handgelenks in Frage. Die Auswirkungen dieser Leiden hätte die Vorinstanz prüfen müssen. Es genüge nicht, sich allein auf die Stellungnahmen des RAD zu stützen, der seine Feststellungen auf der Grundlage der Aussagen des SUVA-Kreisarztes getroffen hat. Die Berichte des RAD seien entgegen dem angefochtenen Entscheid nicht beweiskräftig.</w:t>
      </w:r>
    </w:p>
    <w:p>
      <w:r>
        <w:rPr>
          <w:b/>
        </w:rPr>
        <w:t>E. 4.1</w:t>
      </w:r>
    </w:p>
    <w:p>
      <w:r>
        <w:t>Aus dem Umstand, dass das kantonale Gericht und die IV-Stelle darauf verzichtet haben, ein verwaltungsexternes Gutachten einzuholen und stattdessen die Berichte der Suva und des RAD als entscheidend erachtet haben, kann der Beschwerdeführer nichts zu seinen Gunsten ableiten. Stützt sich der angefochtene Entscheid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 BGE 122 V 157 E. 1d S. 162 f.; Urteil 8C_113/2009 vom 27. Juli 2009 E. 3.2). Die Vorinstanz hat in Würdigung der Berichte der Suva-Ärzte und der Aussagen der RAD-Ärztin Dr. med. C.________ vom 12. September 2017, wonach reine Unfallfolgen vorlägen, weshalb die Beurteilungen der Suva als massgebend zu erachten seien, sowie des Berichts der nämlichen Ärztin vom 27. Dezember 2017, worin sie zu den Einwänden des Rechtsvertreters des Versicherten Stellung genommen hat, festgehalten, dass der Versicherte in einer leidensangepassten Tätigkeit voll arbeitsfähig sei.</w:t>
      </w:r>
    </w:p>
    <w:p>
      <w:r>
        <w:rPr>
          <w:b/>
        </w:rPr>
        <w:t>E. 4.2</w:t>
      </w:r>
    </w:p>
    <w:p>
      <w:r>
        <w:t>Entgegen sämtlicher Vorbringen in der Beschwerde kann von Willkür in der Beweiswürdigung keine Rede sein, erscheint die vorinstanzliche Schlussfolgerung doch als zumindest vertretbar. Dass die Vorinstanz gestützt auf den RAD weder einen degenerativen Vorzustand noch die Allodynie als Gründe für eine weitergehende Minderung der Erwerbsfähigkeit berücksichtigte, ist gegenteils Ergebnis sorgfältiger Beweiswürdigung, die nicht mit Hinweisen auf die Ursachen des genannten Leidens als willkürlich qualifiziert werden kann. Hat aber das kantonale Gericht dem entscheiderheblichen Sachverhalt willkürfrei festgestellt, besteht für die Rüge einer Verletzung des Untersuchungsgrundsatzes kein Raum.</w:t>
      </w:r>
    </w:p>
    <w:p>
      <w:r>
        <w:rPr>
          <w:b/>
        </w:rPr>
        <w:t>E. 5</w:t>
      </w:r>
    </w:p>
    <w:p>
      <w:r>
        <w:t>Dem Ausgang des Verfahrens entsprechend hat der Versicherte grundsätzlich die Gerichtskosten zu tragen ( Art. 66 Abs. 1 Satz 1 BGG ). Da die gesetzlichen Voraussetzungen erfüllt sind, ist ihm die unentgeltliche Rechtspflege zu gewähren ( Art. 64 Abs. 2 BGG ). Er ist indessen auf Art. 64 Abs. 4 BGG hinzuweisen. Danach hat er der 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