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142/2015 vom 5. Juni 2015</w:t>
      </w:r>
    </w:p>
    <w:p>
      <w:r>
        <w:t>Bundesgericht, 2015-06-05, DE</w:t>
      </w:r>
    </w:p>
    <w:p>
      <w:r>
        <w:rPr>
          <w:b/>
        </w:rPr>
        <w:t xml:space="preserve">Quelle: </w:t>
      </w:r>
      <w:r>
        <w:t>https://mcp.opencaselaw.ch/entscheid/bger_9C_142_2015</w:t>
      </w:r>
    </w:p>
    <w:p>
      <w:r>
        <w:t>FR: TF 9C 142/2015 du 5 juin 2015</w:t>
      </w:r>
    </w:p>
    <w:p>
      <w:r>
        <w:t>IT: TF 9C 142/2015 del 5 giugno 2015</w:t>
      </w:r>
    </w:p>
    <w:p>
      <w:pPr>
        <w:pStyle w:val="Heading2"/>
      </w:pPr>
      <w:r>
        <w:t>Regeste</w:t>
      </w:r>
    </w:p>
    <w:p>
      <w:r>
        <w:t>Invalidenversicherung (Massnahmen beruflicher Art) | Invalidenversicherung</w:t>
      </w:r>
    </w:p>
    <w:p>
      <w:pPr>
        <w:pStyle w:val="Heading2"/>
      </w:pPr>
      <w:r>
        <w:t>Erwägungen</w:t>
      </w:r>
    </w:p>
    <w:p>
      <w:r>
        <w:rPr>
          <w:b/>
        </w:rPr>
        <w:t>E. 1</w:t>
      </w:r>
    </w:p>
    <w:p>
      <w:r>
        <w:t>Streitig ist der Anspruch auf Arbeitsvermittlung. Das kantonale Gericht hat die einschlägigen Rechtsgrundlagen zutreffend dargelegt. Nach Art. 18 IVG haben arbeitsunfähige Versicherte, welche eingliederungsfähig sind, Anspruch auf aktive Unterstützung bei der Suche eines geeigneten Arbeitsplatzes.</w:t>
      </w:r>
    </w:p>
    <w:p>
      <w:r>
        <w:rPr>
          <w:b/>
        </w:rPr>
        <w:t>E. 2</w:t>
      </w:r>
    </w:p>
    <w:p>
      <w:r>
        <w:t>Die Vorinstanz erwog, es erübrige sich eine Berufsberatung, wenn eine versicherte Person aus medizinischer Sicht adaptierte Tätigkeiten generell weiterhin verrichten könne, und aus den ärztlichen Abklärungen und Beschreibungen hinreichend klar hervor gehe, dass ihr auf dem ausgeglichenen Arbeitsmarkt genügend zumutbare Tätigkeiten offenstünden. Hingegen brauche es für den Anspruch auf Arbeitsvermittlung weder eine Invalidität noch einen Invaliditätsgrad. Es genüge der Eintritt einer Arbeitsunfähigkeit. Solches sei hier gegeben, nachdem ihm die Arbeitsstelle aus gesundheitlichen Gründen gekündigt worden sei und er nur noch in einer adaptierten Tätigkeit arbeitsfähig sei.</w:t>
      </w:r>
    </w:p>
    <w:p>
      <w:r>
        <w:rPr>
          <w:b/>
        </w:rPr>
        <w:t>E. 3</w:t>
      </w:r>
    </w:p>
    <w:p>
      <w:r>
        <w:t>Die Beschwerdeführerin hält dagegen, für die Gewährung von Arbeitsvermittlung seien neben der gesetzlichen Umschreibung weitere leistungsspezifische Voraussetzungen erforderlich. So sei bei der Prüfung der Arbeitsunfähigkeit nicht nur der erste, sondern auch der zweite Satz von Art. 6 ATSG zu beachten. Danach werde bei langer Dauer der Arbeitsunfähigkeit auch die zumutbare Tätigkeit in einem anderen Beruf oder Aufgabenbereich berücksichtigt. Zudem müssten insbesondere die Notwendigkeit und die Geeignetheit gegeben sein. Sei die fehlende berufliche Eingliederung im Sinne der Verwertung einer bestehenden Arbeitsfähigkeit nicht auf gesundheitlich bedingte Schwierigkeiten bei der Stellensuche zurückzuführen, falle die Arbeitsvermittlung nicht in die Zuständigkeit der Invalidenversicherung. Sei die Arbeitsfähigkeit einzig insoweit eingeschränkt, als dem Versicherten nur leichte Tätigkeiten voll zumutbar seien, bedürfe es zur Begründung des Anspruchs einer spezifischen Einschränkung gesundheitlicher Art. Daran sei nach Inkrafttreten der 4. und 5. IV-Revision festgehalten worden.</w:t>
      </w:r>
    </w:p>
    <w:p>
      <w:r>
        <w:rPr>
          <w:b/>
        </w:rPr>
        <w:t>E. 4.1</w:t>
      </w:r>
    </w:p>
    <w:p>
      <w:r>
        <w:t>Die Beschwerdeführerin begründete ihre Verfügung damit, die Beurteilung durch den Regionalen Ärztlichen Dienst (RAD) habe ergeben, dass dem Beschwerdegegner die bisherige Tätigkeit weiterhin überwiegend zumutbar sei. Er sei angemessen eingegliedert. Berufliche Massnahmen, die die Erwerbsfähigkeit verbesserten, seien nicht notwendig.</w:t>
      </w:r>
    </w:p>
    <w:p>
      <w:r>
        <w:rPr>
          <w:b/>
        </w:rPr>
        <w:t>E. 4.2</w:t>
      </w:r>
    </w:p>
    <w:p>
      <w:r>
        <w:t>Tatsächlich stellte der RAD-Arzt fest, die Einschätzung des Hausarztes Dr. med. B.________, Praktischer Arzt FMH, über angeblich unmögliche Überkopf- und Tragetätigkeiten sei in Anbetracht der Befundlage nicht schlüssig nachvollziehbar. Der Hausarzt bestätige aber [in seinem Bericht vom 6. Juni 2014] eine volle adaptierte Arbeitsfähigkeit (RAD-Bericht vom 16. Juli 2014).</w:t>
      </w:r>
    </w:p>
    <w:p>
      <w:r>
        <w:rPr>
          <w:b/>
        </w:rPr>
        <w:t>E. 4.3</w:t>
      </w:r>
    </w:p>
    <w:p>
      <w:r>
        <w:t>Nach der nach den 4. und 5. IV-Revisionen weiterhin gültigen Rechtsprechung (Urteil I 421/01 vom 15. Juli 2002 E. 2c und d) bedarf es zur Begründung des Anspruchs auf Arbeitsvermittlung zusätzlich einer spezifischen Einschränkung gesundheitlicher Art, wenn die Arbeitsfähigkeit einzig insoweit betroffen ist, als dem Versicherten nur leichte Tätigkeiten voll zumutbar sind. Die leistungsspezifische Invalidität des Anspruchs liegt vor, wenn die Behinderung Probleme bei der Stellensuche verursacht. Dies trifft z. B. zu, wenn wegen Stummheit oder mangelnder Mobilität kein Bewerbungsgespräch möglich ist oder dem potenziellen Arbeitgeber die besonderen Möglichkeiten und Grenzen des Versicherten erläutert werden müssen (z.B. welche Tätigkeiten trotz Sehbehinderung erledigt werden können), damit der Behinderte überhaupt eine Chance hat, den gewünschten Arbeitsplatz zu erhalten. Es genügt nicht, dass dem Versicherten die Arbeitsstelle aus gesundheitlichen Gründen gekündigt worden ist, wie dies die Vorinstanz erwogen hat (vgl. zum Ganzen auch MEYER/REICHMUTH, Bundesgesetz über die Invalidenversicherung, Art. 18 N. 6 mit Hinweisen auf die Rechtsprechung).</w:t>
      </w:r>
    </w:p>
    <w:p>
      <w:r>
        <w:rPr>
          <w:b/>
        </w:rPr>
        <w:t>E. 5</w:t>
      </w:r>
    </w:p>
    <w:p>
      <w:r>
        <w:t>Entsprechend dem Ausgang des Verfahrens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