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9C_142/2009 vom 20. November 2009</w:t>
      </w:r>
    </w:p>
    <w:p>
      <w:r>
        <w:t>Bundesgericht, 2009-11-20, FR</w:t>
      </w:r>
    </w:p>
    <w:p>
      <w:r>
        <w:rPr>
          <w:b/>
        </w:rPr>
        <w:t xml:space="preserve">Quelle: </w:t>
      </w:r>
      <w:r>
        <w:t>https://mcp.opencaselaw.ch/entscheid/bger_9C_142_2009</w:t>
      </w:r>
    </w:p>
    <w:p>
      <w:r>
        <w:t>FR: TF 9C_142/2009 du 20 novembre 2009</w:t>
      </w:r>
    </w:p>
    <w:p>
      <w:r>
        <w:t>IT: TF 9C_142/2009 del 20 novembre 2009</w:t>
      </w:r>
    </w:p>
    <w:p>
      <w:pPr>
        <w:pStyle w:val="Heading2"/>
      </w:pPr>
      <w:r>
        <w:t>Erwägungen</w:t>
      </w:r>
    </w:p>
    <w:p>
      <w:r>
        <w:rPr>
          <w:b/>
        </w:rPr>
        <w:t>E. 1.1</w:t>
      </w:r>
    </w:p>
    <w:p>
      <w:r>
        <w:t>Le recours en matière de droit public ( art. 82 ss LTF ) peut être formé pour violation du droit au sens des art. 95 et 96 LTF . Le Tribunal fédéral applique le droit d'office ( art. 106 al. 1 LTF ), sans être limité par les arguments de la partie recourante ou par la motivation de l'autorité précédente. Toutefois, eu égard à l'exigence de motivation contenue à l' art. 42 al. 1 et 2 LTF , le Tribunal fédéral n'examine en principe que les griefs invoqués. Il fonde son raisonnement sur les faits retenus par la juridiction de première instance ( art. 105 al. 1 LTF ) sauf s'ils ont été établis de façon manifestement inexacte ou en violation du droit au sens de l' art. 95 LTF auquel cas il peut les rectifier ou les compléter d'office ( art. 105 al. 2 LTF ).</w:t>
      </w:r>
    </w:p>
    <w:p>
      <w:r>
        <w:rPr>
          <w:b/>
        </w:rPr>
        <w:t>E. 1.2</w:t>
      </w:r>
    </w:p>
    <w:p>
      <w:r>
        <w:t>Conformément aux principes relatifs au pouvoir d'examen du Tribunal fédéral développés dans l' ATF 132 V 393 consid. 3 p. 397 s., les règles légales et jurisprudentielles sur la manière d'effectuer la comparaison des revenus (prévue à l' art. 16 LPGA ), y compris celles concernant l'utilisation de l'Enquête suisse sur la structure des salaires (ESS), relèvent de questions de droit. Sous cet angle, la constatation des deux revenus hypothétiques à comparer est une question de fait, dans la mesure où elle repose sur une appréciation concrète des preuves; il s'agit en revanche d'une question de droit si elle se fonde sur l'expérience générale de la vie. Ainsi, relèvent du droit les questions de savoir si les salaires statistiques de l'ESS sont applicables, quel tableau statistique est déterminant et s'il y a lieu de procéder à un abattement en raison de circonstances particulières (liées au handicap de la personne ou d'autres facteurs). L'étendue de l'abattement (justifié dans un cas concret) constitue une question typique relevant du pouvoir d'appréciation, qui est soumise à l'examen du juge de dernière instance uniquement si la juridiction cantonale a exercé celui-ci de manière contraire au droit, soit a commis un excès positif (Ermessensüberschreitung) ou négatif (Ermessensunterschreitung) de son pouvoir d'appréciation ( ATF 132 V 303 consid. 3.3 p. 399).</w:t>
      </w:r>
    </w:p>
    <w:p>
      <w:r>
        <w:rPr>
          <w:b/>
        </w:rPr>
        <w:t>E. 2</w:t>
      </w:r>
    </w:p>
    <w:p>
      <w:r>
        <w:t>Le litige porte sur le point de savoir si c'est à bon droit que la juridiction cantonale a octroyé à l'intimée une demi-rente d'invalidité à partir du 1er mai 2007. Dans ce contexte, seul est contesté le montant du revenu d'invalide retenu par le tribunal des assurances du canton de Genève.</w:t>
      </w:r>
    </w:p>
    <w:p>
      <w:r>
        <w:rPr>
          <w:b/>
        </w:rPr>
        <w:t>E. 3.1</w:t>
      </w:r>
    </w:p>
    <w:p>
      <w:r>
        <w:t>La juridiction cantonale a fait siennes les conclusions de l'expert M.________ (rapport du 18 avril 2007), selon lesquelles l'assurée disposait d'une capacité de travail résiduelle de 70 % dans son ancienne activité d'employée de bureau. Pour évaluer le revenu d'invalide, les premiers juges ont pris en compte le salaire auquel pouvaient prétendre les femmes ayant des connaissances professionnelles spécialisées dans les secteurs privé et public, soit durant l'année 2006, 5'014 fr. par mois (Enquête suisse sur la structure des salaires 2006 [ESS], TA7, niveau de qualification 3). Adapté à l'horaire de travail usuel de 41,7 heures dans les entreprises en 2007 (62'725 fr. 15) et à l'évolution des salaires nominaux (63'659 fr. 40), le revenu annuel auquel pouvait prétendre l'intimée a été fixé à 42'333 fr. 50 pour 2007, compte tenu d'un taux d'activité réduit à 70 % et d'un abattement de 5 % (63'659 fr. 40 - 5 % x 70 %). Comparant ce gain à un revenu annuel sans invalidité de 99'159 fr. 40, les premiers juges ont considéré que le taux d'invalidité de 57,3 % ouvrait droit à une demi-rente.</w:t>
      </w:r>
    </w:p>
    <w:p>
      <w:r>
        <w:rPr>
          <w:b/>
        </w:rPr>
        <w:t>E. 3.2</w:t>
      </w:r>
    </w:p>
    <w:p>
      <w:r>
        <w:t>L'office recourant conteste uniquement le montant du revenu d'invalide. En premier lieu, il reproche aux premiers juges de s'être fondés sur la valeur moyenne statistique de l'ensemble des activités avec connaissances professionnelles spécialisées et de n'avoir pas retenu le salaire statistique de la branche économique correspondant à l'activité la mieux adaptée à l'intimée, soit sans conteste celui ressortant du chiffre 22 du tableau ESS, compte tenu de l'ancienne activité de secrétaire, laquelle était conforme à la formation apprise, à l'expérience acquise et aux compétences de l'assurée. Le recourant estime par ailleurs que les premiers juges ont fait preuve d'arbitraire en procédant à un abattement du revenu d'invalide dès lors que ni l'ancienneté, ni la nationalité ni l'âge ni les limitations fonctionnelles, déjà prises en compte dans le taux d'activité réduit de 70 %, ne permettaient de procéder à un quelconque abattement.</w:t>
      </w:r>
    </w:p>
    <w:p>
      <w:r>
        <w:rPr>
          <w:b/>
        </w:rPr>
        <w:t>E. 4.1</w:t>
      </w:r>
    </w:p>
    <w:p>
      <w:r>
        <w:t>Selon la jurisprudence, le revenu d'invalide doit être évalué avant tout en fonction de la situation professionnelle concrète de l'assuré. En l'absence d'un revenu effectivement réalisé, la jurisprudence considère que le revenu d'invalide peut être évalué sur la base des statistiques salariales ( ATF 129 V 472 consid. 4.2.1 p. 475; 126 V 75 consid. 3b/aa p. 76 et les références). Dans ce cas, il convient de se fonder, en règle générale, sur les salaires mensuels indiqués dans la table ESS TA1, à la ligne «total secteur privé» ( ATF 124 V 321 consid. 3b/aa p. 323).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lorsque avant l'atteinte à la santé, l'assuré a travaillé dans un domaine pendant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(arrêt 9C_237/2007 du 24 août 2007 consid. 5.1, non publié aux ATF 133 V 545 , et les références citées).</w:t>
      </w:r>
    </w:p>
    <w:p>
      <w:r>
        <w:t>En l'espèce, tant l'office recourant que les premiers juges ont considéré que l'intimée disposait d'une capacité résiduelle de travail de 70 % dans son ancienne profession d'assistante d'un conseiller à la clientèle du domaine bancaire. Dans cette activité, qu'elle exerçait à 100 %, l'intimée réalisait un revenu annuel brut de 96'451 fr. en 2005. Compte tenu de ces circonstances particulières et de la nécessité de fixer le plus précisément possible le revenu d'invalide conformément à la jurisprudence, il convient de s'écarter de la table TA1 et de se référer à la table TA7; toutefois, contrairement au choix opéré par les premiers juges, il s'agit de se référer au domaine «secrétariat, travaux de chancellerie», niveau de qualification 3. Le montant indiqué pour 2006, soit 5'675 fr., correspond à un horaire de travail de 40 heures, de sorte qu'il doit être porté à 6'011 fr. pour tenir compte d'un horaire hebdomadaire en 2007 de 41,7 heures (La Vie économique, 10-2009, p. 90, table B9.2) et d'une évolution des salaires de 1,6 % par rapport à l'année 2006 (La Vie économique, 10-2009, p. 91, table B10.2). Le montant du revenu d'invalide ainsi obtenu pour un plein temps, à savoir 72'120 fr. (6'010 fr. x 12) reste encore largement inférieur au salaire obtenu par l'intimée dans son ancienne activité d'assistante d'un conseiller à la clientèle d'une banque.</w:t>
      </w:r>
    </w:p>
    <w:p>
      <w:r>
        <w:rPr>
          <w:b/>
        </w:rPr>
        <w:t>E. 4.2</w:t>
      </w:r>
    </w:p>
    <w:p>
      <w:r>
        <w:t>En ce qui concerne l'étendue de l'abattement du salaire statistique, comme argumente le recourant, il est vrai que l'assurée est en dessous du seuil à partir duquel le Tribunal fédéral parle d'un âge avancé et que ses limitations fonctionnelles ont été expressément prises en compte dans le taux d'activité réduit de 70 %; toutefois, le taux d'activité partiel de l'intimée est susceptible d'avoir une influence sur son revenu. Cela dit, et vu les circonstances du cas d'espèce, la réduction de 5 % opérée par la juridiction cantonale sur le revenu d'invalide n'apparaît pas, sous l'angle des critères pertinents ( ATF 126 V 75 ), contraire aux règles jurisprudentielles en la matière.</w:t>
      </w:r>
    </w:p>
    <w:p>
      <w:r>
        <w:t>Compte tenu d'une capacité de travail de 70 % et d'une déduction de 5 % sur le salaire statistique, le revenu d'invalide s'élève à 47'959 fr. 80. En comparant ce montant avec le revenu sans invalidité de 99'159 fr. 40 (non contesté), on obtient un taux d'incapacité de gain de 52 % (arrondi), lequel ouvre le droit à une demi-rente d'invalidité.</w:t>
      </w:r>
    </w:p>
    <w:p>
      <w:r>
        <w:t>Aussi, la décision des premiers juges reconnaissant le droit de l'intimée à une demi-rentre d'invalidité à partir du 1er mai 2007 s'avère conforme au droit fédéral. Le recours se révèle dès lors mal fondé.</w:t>
      </w:r>
    </w:p>
    <w:p>
      <w:r>
        <w:rPr>
          <w:b/>
        </w:rPr>
        <w:t>E. 5</w:t>
      </w:r>
    </w:p>
    <w:p>
      <w:r>
        <w:t>L'OAI, qui succombe, supportera les frais judiciaires de la présente procédure ( art. 65 et 66 al. 1 LTF ) et versera à l'intimée une indemnité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