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9C_140/2015 vom 26. Mai 2015</w:t>
      </w:r>
    </w:p>
    <w:p>
      <w:r>
        <w:t>Bundesgericht, 2015-05-26, FR</w:t>
      </w:r>
    </w:p>
    <w:p>
      <w:r>
        <w:rPr>
          <w:b/>
        </w:rPr>
        <w:t xml:space="preserve">Quelle: </w:t>
      </w:r>
      <w:r>
        <w:t>https://mcp.opencaselaw.ch/entscheid/bger_9C_140_2015</w:t>
      </w:r>
    </w:p>
    <w:p>
      <w:r>
        <w:t>FR: TF 9C_140/2015 du 26 mai 2015</w:t>
      </w:r>
    </w:p>
    <w:p>
      <w:r>
        <w:t>IT: TF 9C_140/2015 del 26 maggio 2015</w:t>
      </w:r>
    </w:p>
    <w:p>
      <w:pPr>
        <w:pStyle w:val="Heading2"/>
      </w:pPr>
      <w:r>
        <w:t>Erwägungen</w:t>
      </w:r>
    </w:p>
    <w:p>
      <w:r>
        <w:rPr>
          <w:b/>
        </w:rPr>
        <w:t>E. 1</w:t>
      </w:r>
    </w:p>
    <w:p>
      <w:r>
        <w:t>Les conclusions prises par la recourante devant le Tribunal fédéral ne semblent pas véritablement dirigées contre les motifs qui ont conduit la juridiction cantonale à déclarer le recours pour déni de justice irrecevable (cf. ATF 123 V 335 ; 118 Ib 134 ). L'assurée conteste toutefois ces motifs lorsqu'elle soutient que le raisonnement du tribunal cantonal ne saurait être suivi et que l'arrêt 9C_72/2011 du 20 juin 2011 sur lequel reposent les considérations des premiers juges ne trouve pas application dans son cas. Elle prétend par ailleurs que la juridiction cantonale a indûment restreint l'objet du litige à la seule question du dysfonctionnement survenu dans la mise en oeuvre du système de désignation aléatoire des spécialistes devant réaliser l'expertise décidée le 16 octobre 2012, alors que son recours pour déni de justice portait également et avant tout sur la passivité de l'office intimé et sur les conséquences temporelles du dysfonctionnement évoqué, tant du point de vue du retard pris dans l'accomplissement de l'expertise que du point de vue du retard pris pour rendre la décision finale dans la procédure de révision initiée le 4 septembre 2007. Cette question n'a pas été tranchée par le tribunal cantonal, ni même mentionnée du reste, ce qui est en principe constitutif d'un déni de justice formel prohibé par l' art. 29 al. 2 Cst. (sur cette notion, cf. notamment ATF 117 Ia 116 consid. 3a p. 117 s. et les références). Compte tenu du fait que les critiques soulevées portent sur la durée de la procédure, il convient toutefois d'entrer en matière sur le recours formé céans et, par économie de procédure ainsi que par gain de temps, de statuer directement sur le fond du litige.</w:t>
      </w:r>
    </w:p>
    <w:p>
      <w:r>
        <w:rPr>
          <w:b/>
        </w:rPr>
        <w:t>E. 2</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3</w:t>
      </w:r>
    </w:p>
    <w:p>
      <w:r>
        <w:t>Du point de vue matériel, le litige porte sur le droit de la recourante à une rente d'invalidité dans le cadre d'une procédure de révision au sens de l' art. 17 LPGA . Dans ce contexte, il s'agit singulièrement de déterminer si, compte tenu de l'argumentation développée par l'assurée en première instance, les premiers juges pouvaient déclarer ledit recours irrecevable au motif que le grief relatif à la non-interpellation des responsables de la plateforme SuisseMED@P aux fins de s'enquérir des raisons du retard mis à la désignation du centre d'expertise ne relevait pas d'un déni de justice mais portait sur la qualité ou l'efficacité des mesures prises par l'office intimé, soit sur des actes matériels dudit office dont l'exécution par la force publique n'était pas possible. Il s'agit également d'examiner si le retard engendré par la désignation des experts par le biais de la plateforme SuisseMED@P est constitutif d'un déni de justice au regard de l'ensemble de la procédure de révision.</w:t>
      </w:r>
    </w:p>
    <w:p>
      <w:r>
        <w:rPr>
          <w:b/>
        </w:rPr>
        <w:t>E. 4</w:t>
      </w:r>
    </w:p>
    <w:p>
      <w:r>
        <w:t>Contrairement à ce que soutient la recourante, la notion de déni de justice déduite de l' art. 29 al. 1 Cst. , qui confère notamment à toute personne le droit à ce que sa cause soit jugée dans un délai raisonnable, n'est pas plus large que celle figurant à l' art. 56 al. 2 LPGA , qui prévoit qu'un assuré peut recourir lorsque l'assureur ne rend pas de décision ou de décision sur opposition. Ces deux dispositions consacrent effectivement le principe de la célérité en ce sens qu'elles prohibent toutes deux le retard injustifié à statuer et non le retard injustifié pris dans l'accomplissement des actes d'instruction. Le caractère raisonnable de la durée de la procédure s'apprécie en fonction des circonstances particulières de la cause, notamment l'ampleur et la difficulté de celle-ci ainsi que le comportement du justiciable mais non une surcharge de travail de l'autorité (cf. ATF 125 V 188 consid. 2a p. 191 s. et les références qui, sur ce point, reste applicable depuis l'entrée en vigueur de la LPGA [cf. UELI Kieser, ATSG-Kommentar, 2ème éd. 2009, nos 10, 13 et 14 ad art. 56] comparé à l' ATF 130 I 312 consid. 5.1 et 5.2 p. 331 s. et les références).</w:t>
      </w:r>
    </w:p>
    <w:p>
      <w:r>
        <w:rPr>
          <w:b/>
        </w:rPr>
        <w:t>E. 5.1</w:t>
      </w:r>
    </w:p>
    <w:p>
      <w:r>
        <w:t>Conformément à ce qu'a retenu la juridiction cantonale, l'assurée ne saurait se plaindre d'un refus de statuer en relation avec la question de la réalisation d'une expertise. En effet, l'office intimé a rendu le 16 octobre 2012 la décision incidente qu'il était tenu de rendre en vertu de l' art. 72bis RAI (introduit suite à la publication de l' ATF 137 V 210 qui a apporté de nombreux correctifs à la procédure administrative, en particulier en ce qui concerne la désignation des experts), qui prévoit l'attribution aléatoire des mandats d'expertises pluridisciplinaires comprenant au moins trois disciplines différentes à des centres d'expertise liés à l'Office fédéral des assurances sociales (OFAS) par une convention. Par ailleurs, ce type de décision n'est attaquable ni devant une juridiction de première instance, ni devant le Tribunal fédéral (cf. ATF 139 V 339 ). Il est conforme au droit (cf. ATF 139 V 349 ). Il ne laisse en outre place à aucun autre système de désignation des experts (cf. ATF 140 V 507 ).</w:t>
      </w:r>
    </w:p>
    <w:p>
      <w:r>
        <w:rPr>
          <w:b/>
        </w:rPr>
        <w:t>E. 5.2</w:t>
      </w:r>
    </w:p>
    <w:p>
      <w:r>
        <w:t>Autres sont les questions des dysfonctionnements rencontrés dans l'exécution d'une telle mesure ou des conséquences de ces dysfonctionnements sur l'ensemble de la procédure.</w:t>
      </w:r>
    </w:p>
    <w:p>
      <w:r>
        <w:rPr>
          <w:b/>
        </w:rPr>
        <w:t>E. 5.2.1</w:t>
      </w:r>
    </w:p>
    <w:p>
      <w:r>
        <w:t>S'agissant des dysfonctionnements évoqués, on relèvera que SuisseMED@P est une plateforme informatique exploitée par la Conférence des offices AI. Cette plateforme est destinée à mettre en oeuvre le système règlementaire et jurisprudentiel de désignation aléatoire des experts dans le contexte d'expertises pluridisciplinaires (cf. consid. 5.1). Le bon fonctionnement de ladite plateforme relève donc des attributions légales des offices AI quant à l'évaluation de l'invalidité (cf. art. 57 let f. LAI) et constitue par conséquent un des éléments sur lesquels la Confédération exerce son devoir général de surveillance (cf. art. 64 LAI ). Ce devoir a été délégué au Département fédéral de l'intérieur qui en a lui-même transféré une partie à l'OFAS pour qu'il s'en acquitte de manière indépendante (cf. art. 176 RAVS applicable par renvoi des art. 64 LAI et 72 RAVS). Conformément à ce qu'a indiqué le tribunal cantonal, il n'appartient dès lors pas à une autorité judiciaire de s'exprimer sous l'angle du déni de justice sur les difficultés ou les retards survenus dans le cadre de l'exécution d'une décision entrée en force (cf. arrêt 9C_72/2011 du 20 juin 2011 consid. 2.2 et 2.3), mais il revient à l'OFAS d'intervenir - éventuellement par le biais d'une dénonciation - en exerçant son contrôle sur l'exécution par les offices AI des tâches énumérées à l' art. 57 LAI (cf. art. 64a al. 1 let. a LAI ) et en édictant à l'intention desdits offices des directives générales ou portant sur des cas d'espèce (cf. art. 64a al. 1 let. b LAI et 50 al. 1 RAI). En l'espèce, il n'appartenait pas à l'autorité judiciaire cantonale de suppléer aux dysfonctionnements rencontrés dans l'exécution d'une décision administrative, de sorte qu'elle ne saurait en aucun cas être tenue de réaliser une expertise judiciaire pour accélérer la procédure, ainsi que le réclamait et le réclame encore l'assurée.</w:t>
      </w:r>
    </w:p>
    <w:p>
      <w:r>
        <w:rPr>
          <w:b/>
        </w:rPr>
        <w:t>E. 5.2.2</w:t>
      </w:r>
    </w:p>
    <w:p>
      <w:r>
        <w:t>S'agissant des conséquences des dysfonctionnements évoqués (cf. consid. 5.2), on relèvera que, conformément à ce que semble prétendre la recourante, le retard pris dans l'exécution d'une décision incidente tendant à la mise en oeuvre d'une expertise peut avoir une incidence sur l'ensemble de la procédure et, après l'écoulement d'un certain temps, faire apparaître l'absence de décision finale comme un retard injustifié. Mais tel n'est pas le cas en l'occurrence. Si la procédure de révision du droit à la rente a certes débuté le 4 septembre 2007, on notera qu'elle a d'une manière générale suivi son cours normal dans la mesure où chacune des parties a utilisé les voies de droit qui étaient à sa disposition aux différentes étapes de ladite procédure et où les retards injustifiés à rendre les décisions ayant pu marquer les différentes étapes évoquées ont déjà tous été relevés et sanctionnés par la constatation d'un déni de justice. La dernière fois que les premiers juges ont été amenés à s'exprimer à ce propos remonte au 27 août 2014 et concernait la constatation d'un déni de justice en relation avec l'inscription tardive du mandat d'expertise dans la plateforme SuisseMED@P et l'injonction d'interpeler les responsables de ladite plateforme. On ne saurait dès lors dire que le laps de temps écoulé entre cette date et le dépôt du dernier recours cantonal ou même aujourd'hui constitue un délai déraisonnable (cf. consid. 4) au regard de l'ensemble de la procédure ainsi que de son déroulement.</w:t>
      </w:r>
    </w:p>
    <w:p>
      <w:r>
        <w:rPr>
          <w:b/>
        </w:rPr>
        <w:t>E. 6</w:t>
      </w:r>
    </w:p>
    <w:p>
      <w:r>
        <w:t>Vu l'issue du litige, les frais judiciaires sont mis à la charge de la recourante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