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13/2012 vom 20. August 2012</w:t>
      </w:r>
    </w:p>
    <w:p>
      <w:r>
        <w:t>Bundesgericht, 2012-08-20, DE</w:t>
      </w:r>
    </w:p>
    <w:p>
      <w:r>
        <w:rPr>
          <w:b/>
        </w:rPr>
        <w:t xml:space="preserve">Quelle: </w:t>
      </w:r>
      <w:r>
        <w:t>https://mcp.opencaselaw.ch/entscheid/bger_9C_13_2012</w:t>
      </w:r>
    </w:p>
    <w:p>
      <w:r>
        <w:t>FR: TF 9C 13/2012 du 20 août 2012</w:t>
      </w:r>
    </w:p>
    <w:p>
      <w:r>
        <w:t>IT: TF 9C 13/2012 del 20 agosto 2012</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Rechtsverletzungen gemäss Art. 95 f. BGG erhoben werden.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prüft indessen - unter Beachtung der Begründungspflicht in Beschwerdeverfahren ( Art. 42 Abs. 1 und 2 BGG ) - grundsätzlich nur die geltend gemachten Rügen, sofern die rechtlichen Mängel nicht geradezu offensichtlich sind ( BGE 133 II 249 E. 1.4.1 S. 254). Wird eine Verletzung von Grundrechten geltend gemacht, muss im Einzelnen dargelegt werden, inwiefern der Entscheid an einem qualifizierten Mangel leidet ( Art. 106 Abs. 2 BGG ).</w:t>
      </w:r>
    </w:p>
    <w:p>
      <w:r>
        <w:rPr>
          <w:b/>
        </w:rPr>
        <w:t>E. 2</w:t>
      </w:r>
    </w:p>
    <w:p>
      <w:r>
        <w:t>Die Beschwerdeführerin bemängelt vorab das Gerichtsgutachten des PD Dr. med. M.________ vom 15. August 2011. Dieser diagnostizierte - mit Einfluss auf die Arbeitsfähigkeit - eine Dysthymia (ICD-10 F34.1), einen Verdacht auf eine rezidivierende depressive Störung, aktuell remittiert, sowie akzentuierte Persönlichkeitszüge mit selbstunsicheren, depressiven, abhängigen, vermeidenden und anderen psychoneurotischen Anteilen (ICD-10 Z73.1). In Bezug auf Letzteres konnte die Differenzialdiagnose einer komplexen Persönlichkeitsstörung nicht gestellt werden. Die Arbeitsfähigkeit in der angestammten Tätigkeit als frei praktizierende Psychiaterin schätzte Dr. M.________ auf ca. 70-80 %. In einer angepassten Tätigkeit in einem nicht konflikthaften Umfeld ohne erhebliche Stressexposition bezeichnete er die Beschwerdeführerin als voll arbeitsfähig. Die fachärztliche Begutachtung basiert u.a. auf einer umfangreichen Aktenlage und der Experte setzte sich insbesondere mit dem Gutachten des Dr. med. S.________, Facharzt FMH für Psychiatrie und Psychotherapie, vom 20. April 2006 samt Ergänzung vom 30. Oktober 2006, dem Gutachten des Instituts X.________ vom 25. August 2008 und dem Privatgutachten vom 23. November 2009 eingehend auseinander. Die Vorinstanz hat einlässlich begründet, weshalb das Obergutachten von PD Dr. med. M.________ überzeugt. Insoweit die Beschwerdeführerin wiederholt geltend macht, verschiedene, auf ihre Persönlichkeitsdefizite zurückzuführende Umstände seien bei der Bestimmung der Arbeitsunfähigkeit unberücksichtigt geblieben, lässt sie ausser Acht, dass die diagnostizierte Persönlichkeitsstörung in sogenannter Z-Kodierung rechtsprechungsgemäss keine invaliditätsrechtlich erhebliche Gesundheitsbeeinträchtigung darstellt (vgl. Urteil 9C_537/2011 vom 28. Juni 2012 E. 3.1; SVR 2012 IV Nr. 22 S. 95, 8C_302/2011 E. 2.3; SVR 2008 IV Nr. 15 S. 43, I 514/06 E. 2.2.2.2). Es erübrigt sich daher, darüber zu diskutieren, welche damit zusammenhängenden Faktoren Eingang in die gutachterliche Schätzung der Arbeitsfähigkeit fanden und welche nicht. Soweit solche miteinbezogen wurden, erfolgte dies zu Gunsten der Beschwerdeführerin; indes kann sie daraus kein Recht auf umfassende Beachtung ableiten. Somit steht fest, dass die Beschwerdeführerin in diesem Zusammenhang, soweit überhaupt rechtsgenüglich dargelegt (vgl. E. 1.2), auch keine Verletzung von Art. 8 Abs. 1 und 3 sowie Art. 10 Abs. 2 BV bzw. Art. 8 EMRK zu begründen vermag. Insofern PD Dr. med. M.________ festhielt, die Beurteilung der Arbeitsfähigkeit stelle sich schwierig dar, da faktisch aktuell bereits insgesamt unter Einschluss der Haushaltsaufgaben ein Pensum von über 100 % absolviert werde, so scheint ihm nicht präsent gewesen zu sein, dass der invalidenrechtlich massgebende Status - d.h. ob ausschliesslich erwerbstätig oder ausschliesslich im Haushalt tätig oder aber "gemischt" tätig - stets bei 100 % liegt. Seine Einschätzung der Arbeitsfähigkeit basierte jedoch klar mit Blick auf ein Vollpensum im Erwerbsleben, was sich aus der - unmittelbar davorstehenden - Feststellung erschliesst, dass die Beschwerdeführerin bei einer Reduktion des psychosozialen Gesamtdruckes trotz persönlichkeitsbedingter Schwierigkeiten wieder "in einem vollen Pensum schaffen könnte" resp. wieder ",normal funktionieren' würde". Indem sich die Vorinstanz auf das Obergutachten abgestützt und eine Restarbeitsfähigkeit von mindestens 70 % angenommen hat, was unbestritten keine rentenwirksame Einschränkung darstellt, kann ihre Beurteilung weder als willkürlich noch sonstwie als bundesrechtswidrig bezeichnet werden. Die Beschwerde ist in diesem Punkt abzuweisen.</w:t>
      </w:r>
    </w:p>
    <w:p>
      <w:r>
        <w:rPr>
          <w:b/>
        </w:rPr>
        <w:t>E. 3</w:t>
      </w:r>
    </w:p>
    <w:p>
      <w:r>
        <w:t>Was die Verlegung der Kosten für das Obergutachten in der Höhe von Fr. 6'774.- betrifft, so hat das Bundesgericht unlängst in einem Grundsatzurteil entschieden, dass Art. 69 Abs. 1bis IVG , der bei Streitigkeiten um die Bewilligung oder Verweigerung von IV-Leistungen vor dem kantonalen Versicherungsgericht einen Kostenrahmen von Fr. 200.- bis Fr. 1000.- vorsieht, abschliessenden Charakter aufweist, selbst wenn der Verfahrensaufwand nur minimal gewesen ist ( BGE 138 V 122 E. 1 S. 123 f.). Diese Verbindlichkeit gilt grundsätzlich auch nach oben, wobei im vorliegenden Fall - wie im zitierten Urteil - nicht zu prüfen ist, ob der Kostenrahmen bei mutwilliger oder leichtsinniger Prozessführung überschritten werden darf. Im Übrigen ist der Wortlaut dahin gehend klar, dass es sich um die "Kosten" und nicht einzig um die Spruchgebühr handelt, wie die vorinstanzlichen Erwägungen implizieren. Dies wird durch die Lehre bestätigt (UELI KIESER, ATSG-Kommentar, 2. Aufl. 2009, N. 35 zu Art. 61 ATSG ; gl.M. wohl auch JEAN-LOUIS DUC, Procédure dans l'assurance-invalidité, in: SZS 2005 S. 306 unten: "Limiter les frais de justice, mais pas ceux qui sont occasionnés par une expertise, ne serait pas logique.") und den Gesetzesmaterialien lassen sich keine Anhaltspunkte entnehmen, die dem unmissverständlichen Wortlaut von Art. 69 Abs. 1bis Satz 2 IVG entgegen stehen (Botschaft vom 4. Mai 2005 betreffend die Änderung des Bundesgesetzes über die Invalidenversicherung [Massnahmen zur Verfahrensstraffung], BBl 2005 3079).</w:t>
      </w:r>
    </w:p>
    <w:p>
      <w:r>
        <w:rPr>
          <w:b/>
        </w:rPr>
        <w:t>E. 4</w:t>
      </w:r>
    </w:p>
    <w:p>
      <w:r>
        <w:t>Wenn auch mit dem Obergutachten von PD Dr. med. M.________ die Einschätzungen der Experten des Instituts X.________ bestätigt werden konnten, kann es nicht im nachhinein als überflüssig für die Beurteilung des Anspruchs der Beschwerdeführerin abgetan werden. Das kantonale Versicherungsgericht ist in der Beweiswürdigung frei ( Art. 61 lit. c ATSG ). Es hat das Obergutachten angeordnet, weil mit dem Gutachten des Instituts X.________ und der von der Beschwerdeführerin eingereichten Privatexpertise zwei bereits im Grundsatz (Methodik) gegensätzliche psychiatrische Fachmeinungen vorlagen. Damit hat es, obwohl grundsätzlich vom Gutachten des Instituts X.________ überzeugt, doch letzte Zweifel ausräumen wollen. Mit anderen Worten hat die Vorinstanz die Abklärungsergebnisse aus dem Verwaltungsverfahren offenbar als nicht ausreichend beweiswertig erachtet. Auch die IV-Stelle hält fest, dass das Einholen eines Obergutachtens deshalb notwendig geworden sei, weil die Versicherte durch die Einreichung eines eigenen Gutachtens Zweifel am Gutachten des Instituts X.________ gestreut habe. Bei dieser Sachlage (vgl. BGE 137 V 210 E. 4.4.1.5 in initio S. 265) besteht von vornherein keine Rechtfertigung, den gesetzlich vorgegebenen Kostenrahmen zu überschreiten. Die Verlegung der Kosten in der (ganzen) Höhe von Fr. 6'774.- zu Lasten der Versicherten stellt demnach eine Verletzung von Bundesrecht ( Art. 95 lit. a BGG ) dar, was zur Aufhebung des angefochtenen Entscheids im fraglichen Punkt führt. Nachdem die Vorinstanz den Kostenrahmen von Art. 69 Abs. 1bis IVG nicht ausgeschöpft und die Beschwerdeführerin den Rechtsstreit vor Verwaltungsgericht verloren hat, erweist sich die Überbindung der gesamten Kosten der Gerichtsexpertise auf die IV-Stelle ( BGE 137 V 210 E. 4.4.2 S. 265 f.) hier nur als eine von möglichen Varianten. Die Sache geht daher an die Vorinstanz zwecks Neuverlegung des streitigen Gutachteraufwands zurück.</w:t>
      </w:r>
    </w:p>
    <w:p>
      <w:r>
        <w:rPr>
          <w:b/>
        </w:rPr>
        <w:t>E. 5</w:t>
      </w:r>
    </w:p>
    <w:p>
      <w:r>
        <w:t>Das Verfahren ist kostenpflichtig ( Art. 65 BGG ). Entsprechend seinem Ausgang werden die Gerichtskosten den Parteien je hälftig auferlegt (Art. 65 Abs. 4 lit. a in Verbindung mit Art. 66 Abs. 1 BGG ). Die IV-Stelle hat der Versicherten für das bundesgerichtliche Verfahren eine reduzierte Parteientschädigung zu bezahlen ( Art. 68 Abs. 1 und 2 BGG ); sie selber ist gemäss Art. 68 Abs. 3 BGG nicht anspruchsberechtigt.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