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9C_139/2019 vom 9. April 2019</w:t>
      </w:r>
    </w:p>
    <w:p>
      <w:r>
        <w:t>Bundesgericht, 2019-04-09, FR</w:t>
      </w:r>
    </w:p>
    <w:p>
      <w:r>
        <w:rPr>
          <w:b/>
        </w:rPr>
        <w:t xml:space="preserve">Quelle: </w:t>
      </w:r>
      <w:r>
        <w:t>https://mcp.opencaselaw.ch/entscheid/bger_9C_139_2019</w:t>
      </w:r>
    </w:p>
    <w:p>
      <w:r>
        <w:t>FR: TF 9C_139/2019 du 9 avril 2019</w:t>
      </w:r>
    </w:p>
    <w:p>
      <w:r>
        <w:t>IT: TF 9C_139/2019 del 9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I</w:t>
      </w:r>
    </w:p>
    <w:p>
      <w:r>
        <w:t>e Cour des assurances sociales, et à l'Office fédéral des assurances sociales.</w:t>
      </w:r>
    </w:p>
    <w:p>
      <w:r>
        <w:t>Lucerne, le 9 avril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