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9C_139/2013 vom 26. Juni 2013</w:t>
      </w:r>
    </w:p>
    <w:p>
      <w:r>
        <w:t>Bundesgericht, 2013-06-26, DE</w:t>
      </w:r>
    </w:p>
    <w:p>
      <w:r>
        <w:rPr>
          <w:b/>
        </w:rPr>
        <w:t xml:space="preserve">Quelle: </w:t>
      </w:r>
      <w:r>
        <w:t>https://mcp.opencaselaw.ch/entscheid/bger_9C_139_2013</w:t>
      </w:r>
    </w:p>
    <w:p>
      <w:r>
        <w:t>FR: TF 9C_139/2013 du 26 juin 2013</w:t>
      </w:r>
    </w:p>
    <w:p>
      <w:r>
        <w:t>IT: TF 9C_139/2013 del 26 giugno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dem Gutachten des Instituts X.________ Beweiskraft beigemessen. Danach ist dem Versicherten jede angepasste Verweistätigkeit (d.h. rückenadaptierte leichte und gelegentlich mittelschwere, wechselbelastende Arbeit ohne Zwangshaltungen und Heben, Tragen und Bewegen von Lasten über 15 kg, keine Arbeit in Überschulterhöhe) aus orthopädischer Sicht zu 90 % und unter psychiatrischen Aspekten, wie auch bei einer Gesamtbetrachtung, zu 80 % zumutbar; die Tätigkeit als selbstständiger Automechaniker mit Beschäftigung eines Mitarbeiters und Lehrlings ist unter Einhaltung des Zumutbarkeitsprofils im gleichen Umfang möglich. Der Beschwerdeführer stellt die Beweiskraft des Gutachtens in Abrede.</w:t>
      </w:r>
    </w:p>
    <w:p>
      <w:r>
        <w:rPr>
          <w:b/>
        </w:rPr>
        <w:t>E. 2.2</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2.4</w:t>
      </w:r>
    </w:p>
    <w:p>
      <w:r>
        <w:t>Zu den Vorbringen betreffend die Bekanntgabe der Gutachter an den Rechtsvertreter, das Erfordernis einer kantonalen Praxisbewilligung, die Unterteilung der Expertise in Haupt- und Zusatzgutachten, die Notwendigkeit des Beizugs weiterer Fachärzte (für Rheumatologie und Neurologie), den Verzicht auf einen Dolmetscher bei der psychiatrischen Untersuchung, die Untersuchungsdauer, das Einholen fremdanamnestischer Auskünfte, die Abweichungen von früheren medizinischen Einschätzungen und die Differenzen zu im vorinstanzlichen Verfahren eingereichten Berichten hat bereits das kantonale Gericht einlässlich, nachvollziehbar und zutreffend Stellung genommen. Der Beschwerdeführer beschränkt sich im Wesentlichen darauf, lediglich die medizinischen Unterlagen abweichend zu würdigen und daraus andere Schlüsse zu ziehen, was nicht genügt (Urteile 9C_65/2012 vom 28. Februar 2012 E. 4.3; 9C_688/2007 vom 22. Januar 2008 E. 2.3; 4A_28/2007 vom 30. Mai 2007 E. 1.3 [in BGE 133 III 421 nicht publiziert]). Das Gutachten des Instituts X.________ erfüllt die bundesrechtlichen Anforderungen an die Beweiskraft (E. 2.2). Daran ändert auch eine Gesamtbetrachtung der einzelnen - allesamt entkräfteten - Rügen nichts.</w:t>
      </w:r>
    </w:p>
    <w:p>
      <w:r>
        <w:t>Ergänzend ist darauf hinzuweisen, dass insbesondere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(Urteile 9C_794/2012 vom 4. März 2013 E. 4.2; 8C_997/2010 vom 10. August 2011 E. 3.2; 8C_694/2008 vom 5. März 2009 E. 5.1). Dass die vorinstanzliche Beweiswürdigung offensichtlich unrichtig sein soll, wird nicht geltend gemacht und ist auch nicht ersichtlich. Ebenso fehlt es an Anhaltspunkten für eine massgebliche Verschlechterung des Gesundheitszustandes seit der Begutachtung des Instituts X.________ bis zum Erlass der Verfügung vom 15. April 2011 (vgl. SVR 2009 IV Nr. 57 S. 177, 9C_149/2009 E. 4.4; Urteil 9C_235/2009 vom 30. April 2009 E. 3.3). Nach dem Gesagten ist der Verzicht auf weitere medizinische Abklärungen in zulässiger antizipierender Beweiswürdigung ( BGE 136 I 229 E. 5.3 S. 236 mit Hinweisen) erfolgt.</w:t>
      </w:r>
    </w:p>
    <w:p>
      <w:r>
        <w:rPr>
          <w:b/>
        </w:rPr>
        <w:t>E. 3.1</w:t>
      </w:r>
    </w:p>
    <w:p>
      <w:r>
        <w:t>Aufgrund des Umstandes, dass der Beschwerdeführer stets als Automechaniker tätig war und ein entsprechendes Einzelunternehmen führt, hat das kantonale Gericht den Invaliditätsgrad mittels eines Prozentvergleichs ermittelt. Dabei hat es die Leistungseinschränkung von 20 % gemäss Gutachten des Instituts X.________ berücksichtigt und einen Leidensabzug von 15 % für die orthopädisch begründeten qualitativen Einschränkungen bei der Mechanikertätigkeit vorgenommen. Daraus resultiert ein rentenausschliessender ( Art. 28 Abs. 2 IVG ) Invaliditätsgrad von 32 %.</w:t>
      </w:r>
    </w:p>
    <w:p>
      <w:r>
        <w:t>Alternativ hat die Vorinstanz die Einkommensvergleichsmethode unter Beizug eines Tabellenlohnes aus der Schweizerischen Lohnstrukturerhebung des Bundesamtes für Statistik (LSE) angewandt. Dabei hat sie das Valideneinkommen - auf der Basis des vor Eintritt des Gesundheitsschadens erzielten Verdienstes - für das Jahr 2009 auf Fr. 72'386.- festgesetzt. Für das Invalideneinkommen von Fr. 44'090.- hat sie ausgehend vom Tabellenlohn LSE 2008 (Tabelle TA1, Total, Anforderungsniveau 4, Männer) die Leistungseinschränkung von 20 %, die betriebsübliche Wochenarbeitszeit, die Nominallohnentwicklung bis 2009 und einen Abzug von 10 % berücksichtigt. Hieraus hat sie eine Erwerbseinbusse von Fr. 17'146.- resp. von 28 % errechnet.</w:t>
      </w:r>
    </w:p>
    <w:p>
      <w:r>
        <w:t>Der Beschwerdeführer hält die Prozentvergleichs-Methode für unzulässig und macht einen Abzug vom Tabellenlohn in Höhe von mindestens 20 % geltend.</w:t>
      </w:r>
    </w:p>
    <w:p>
      <w:r>
        <w:rPr>
          <w:b/>
        </w:rPr>
        <w:t>E. 3.2</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 Der Einkommensvergleich hat in der Regel in der Weise zu erfolgen, dass die beiden hypothetischen Erwerbseinkommen ziffernmässig möglichst genau ermittelt und einander gegenübergestellt werden, worauf sich aus der Einkommensdifferenz der Invaliditätsgrad ermitteln lässt (sog. allgemeine Methode des Einkommensvergleichs; BGE 128 V 29 E. 1 S. 30, 104 V 135). Insoweit die fraglichen Einkommen ziffernmässig nicht genau ermittelt werden können, sind sie nach Massgabe der im Einzelfall bekannten Umstände zu schätzen und die so gewonnenen Annäherungswerte miteinander zu vergleichen (sog. Prozentvergleich; BGE 114 V 310 E. 3a S. 312).</w:t>
      </w:r>
    </w:p>
    <w:p>
      <w:r>
        <w:rPr>
          <w:b/>
        </w:rPr>
        <w:t>E. 3.3.1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w:t>
      </w:r>
    </w:p>
    <w:p>
      <w:r>
        <w:rPr>
          <w:b/>
        </w:rPr>
        <w:t>E. 3.3.2</w:t>
      </w:r>
    </w:p>
    <w:p>
      <w:r>
        <w:t>Der Prozentvergleich ist im konkreten Fall keine geeignete Methode der Invaliditätsbemessung. Einerseits ist die 2007 aufgenommene Tätigkeit als selbstständiger Automechaniker mit Beschäftigung von Mitarbeitern nicht vergleichbar mit der früher ausgeübten Arbeit als angestellter Automechaniker (vgl. Urteil 8C_635/2012 vom 11. Februar 2013 E. 5.3), die gemäss Gutachten des Instituts X.________ nicht mehr zumutbar ist. Anderseits bleibt im Dunkeln, ob mit dem von der Vorinstanz berücksichtigten Abzug von 15 % in Bezug auf die konkreten beruflichen Anforderungen den orthopädisch begründeten Einschränkungen (E. 2.1) genügend Rechnung getragen wurde. Zudem ist nicht ersichtlich, ob der Betrieb des Beschwerdeführers die Ausschöpfung seiner Resterwerbsfähigkeit überhaupt erlauben würde.</w:t>
      </w:r>
    </w:p>
    <w:p>
      <w:r>
        <w:rPr>
          <w:b/>
        </w:rPr>
        <w:t>E. 3.3.3</w:t>
      </w:r>
    </w:p>
    <w:p>
      <w:r>
        <w:t>Die vorinstanzliche Bezifferung des Valideneinkommens (E. 3.1) ist für das Bundesgericht verbindlich (E. 1). Was das Invalideneinkommen anbelangt, so darf angesichts der Höhe des tatsächlich er-zielten Gewinns vom Beschwerdeführer im Rahmen der Schaden-minderungspflicht (vgl. BGE 113 V 22 E. 4a S. 28 mit Hinweisen; Urteil 9C_916/2010 vom 20. Juni 2011 E. 2.2) die Aufgabe der gegenwärti-gen selbstständigen Tätigkeit und die Aufnahme einer geeigneteren Arbeit verlangt werden. Das - hypothetische - Invalideneinkommen ist in solchen Fällen aufgrund statistischer Werte zu ermitteln. Das entsprechende Vorgehen des kantonalen Gerichts (E. 3.1) ist lediglich in Bezug auf den Abzug vom Tabellenlohn zu prüfen.</w:t>
      </w:r>
    </w:p>
    <w:p>
      <w:r>
        <w:rPr>
          <w:b/>
        </w:rPr>
        <w:t>E. 3.4.1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3.4.2</w:t>
      </w:r>
    </w:p>
    <w:p>
      <w:r>
        <w:t>Die Frage, ob ein (behinderungsbedingt oder anderweitig begründeter) Abzug vorzunehmen sei, ist eine Rechtsfrage ( BGE 137 V 71 E. 5.1 S. 72 f. mit Hinweis; Urteil 8C_652/2008 vom 8. Mai 2009 E. 4 in fine, nicht publiziert in: BGE 135 V 297 ). Die Frage nach der Höhe des - im konkreten Fall angezeigten (vgl. SVR 2010 IV Nr. 28 S. 87, 9C_708/2009 E. 2.1.1 mit Hinweisen; Urteil 9C_399/2011 vom 11. Juli 2011 E. 2.2) -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rPr>
          <w:b/>
        </w:rPr>
        <w:t>E. 3.4.3</w:t>
      </w:r>
    </w:p>
    <w:p>
      <w:r>
        <w:t>Es ist nicht ersichtlich und wird auch nicht nachvollziehbar dargelegt, inwiefern die Vorinstanz ihr Ermessen rechtsfehlerhaft ausgeübt resp. den Abzug zu niedrig festgesetzt haben soll. Insbesondere ist nicht massgeblich, dass die Vorinstanz im Rahmen des (unzulässigen, E. 3.3.2) Prozentvergleichs einen höheren Abzug berücksichtigte, zumal sie damit - entgegen der Auffassung des Beschwerdeführers - dem Umstand Rechnung tragen wollte, dass die Tätigkeit als selbstständiger Automechaniker teilweise nicht leidensangepasst ist. Somit bleibt es beim von der Vorinstanz auf Fr. 44'090.- festgesetzten Invalideneinkommen.</w:t>
      </w:r>
    </w:p>
    <w:p>
      <w:r>
        <w:rPr>
          <w:b/>
        </w:rPr>
        <w:t>E. 3.5</w:t>
      </w:r>
    </w:p>
    <w:p>
      <w:r>
        <w:t>Was die Feststellung der Erwerbseinbusse anbelangt, so ist dem kantonalen Gericht offensichtlich ein Rechnungsfehler unterlaufen, der vom Bundesgericht zu korrigieren ist (E. 1). Massgeblich ist die Differenz zwischen Validen- (E. 3.1 und 3.3.3) und Invalideneinkommen (E. 3.1 und 3.4.3), welche Fr. 28'296.- resp. 39 % beträgt. Die Vorinstanz hat indessen auch bei diesem Ergebnis zu Recht einen Rentenanspruch verneint ( Art. 28 Abs. 2 IVG ).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