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139/2010 vom 29. Oktober 2010</w:t>
      </w:r>
    </w:p>
    <w:p>
      <w:r>
        <w:t>Bundesgericht, 2010-10-29, FR</w:t>
      </w:r>
    </w:p>
    <w:p>
      <w:r>
        <w:rPr>
          <w:b/>
        </w:rPr>
        <w:t xml:space="preserve">Quelle: </w:t>
      </w:r>
      <w:r>
        <w:t>https://mcp.opencaselaw.ch/entscheid/bger_9C_139_2010</w:t>
      </w:r>
    </w:p>
    <w:p>
      <w:r>
        <w:t>FR: TF 9C 139/2010 du 29 octobre 2010</w:t>
      </w:r>
    </w:p>
    <w:p>
      <w:r>
        <w:t>IT: TF 9C 139/2010 del 29 ottobre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w:t>
      </w:r>
    </w:p>
    <w:p>
      <w:r>
        <w:rPr>
          <w:b/>
        </w:rPr>
        <w:t>E. 2.1</w:t>
      </w:r>
    </w:p>
    <w:p>
      <w:r>
        <w:t>L'office recourant reproche substantiellement à la juridiction cantonale d'avoir fixé la capacité de travail de l'intimée à 30 % en se référant essentiellement à l'avis du docteur M.________ (rapport du 28 mai 2009), alors que la quasi-totalité des pièces médicales - notamment l'avis du SMR (rapport du 4 juillet 2005) sur lequel repose principalement la décision administrative litigieuse, ainsi que ceux du docteur B.________ (rapport du 19 mai 2004) et de la doctoresse E.________ (rapport du 14 juin 2004) - tend à montrer que l'assurée présente une capacité de travail de 50 % sans baisse de rendement. Il soutient également que les premiers juges n'ont pas motivé les raisons qui les ont conduits à préférer les conclusions du premier praticien cité à celles des seconds.</w:t>
      </w:r>
    </w:p>
    <w:p>
      <w:r>
        <w:rPr>
          <w:b/>
        </w:rPr>
        <w:t>E. 2.2</w:t>
      </w:r>
    </w:p>
    <w:p>
      <w:r>
        <w:t>Si l'argumentation de l'administration peut paraître succincte, imprécise, dans la mesure où l'appréciation de la juridiction cantonale ne repose pas seulement sur l'opinion du docteur M.________ mais s'appuie aussi sur certains rapports des docteurs B.________ et E.________, voire partiellement erronée, dans le sens où les premiers juges ont clairement exposé les motifs pour lesquels ils ont conclu à une capacité de travail de 30 % (omission par l'office recourant de tenir compte de la «capacité de rendement»), elle révèle toutefois une contradiction dans le sens où aussi bien la décision administrative litigieuse que le jugement cantonal font référence à l'avis des docteurs B.________ et E.________ pour justifier des conclusions différentes (capacité résiduelle de travail de 50 % ou de 30 %).</w:t>
      </w:r>
    </w:p>
    <w:p>
      <w:r>
        <w:rPr>
          <w:b/>
        </w:rPr>
        <w:t>E. 2.3</w:t>
      </w:r>
    </w:p>
    <w:p>
      <w:r>
        <w:t>Il apparaît concrètement que l'acte attaqué se fonde partiellement sur l'avis du docteur M.________. Sur la base de diagnostics identiques à ceux posés par ses confrères, ce praticien a d'abord retenu une capacité de travail de 40 %, sans diminution de rendement, dans une activité répondant à des limitations fonctionnelles foncièrement similaires à celles déjà invoquées par d'autres médecins (rapport du 24 septembre 2008). Ce n'est que postérieurement à la décision litigieuse et pendant une tentative infructueuse de reprise du travail à mi-temps qu'il a pour la première fois mentionné un rendement effectif de 30 % (rapport du 28 mai 2009). Les premiers juges ont eux-même admis que ce dernier document n'était pas motivé et que, seul, il n'emportait pas conviction. Ils ont alors tenté de renforcer leur conclusion (capacité résiduelle de travail de 30 %) en procédant à un rapprochement avec l'avis des docteurs B.________ et E.________. Contrairement à ce que paraît croire la juridiction cantonale, le premier médecin cité mentionnait alternativement, et non cumulativement, la possibilité d'exercer une activité lucrative à la demi-journée ou une baisse de rendement de 25 à 50 % alors que le second liait son appréciation temporellement fluctuante de la capacité de travail (50 % - 50 % avec rendement de 30 % - 50 %) plus à des éléments subjectifs qu'objectifs dès lors qu'il ne faisait pas état de modifications notables du substrat médical entre le moment de ses différentes interventions (rapport du 14 juin 2004; rapport non daté déposé à l'appui de l'opposition; rapport du 7 avril 2008). Les autres documents médicaux cités par les premiers juges, à savoir le rapport de la doctoresse O.________ (incapacité totale de travail) et celui du docteur R.________ (doutes quant à une capacité de travail de 50 %), eu égard à leur manque de motivation, ne permettent pas de renforcer la thèse défendue par la juridiction cantonale. Cumulés notamment avec le pronostic défavorable unanimement admis par l'ensemble du corps médical consulté, tous ces éléments auraient toutefois dû conduire les premiers juges à mettre en oeuvre une expertise judiciaire.</w:t>
      </w:r>
    </w:p>
    <w:p>
      <w:r>
        <w:rPr>
          <w:b/>
        </w:rPr>
        <w:t>E. 3.1</w:t>
      </w:r>
    </w:p>
    <w:p>
      <w:r>
        <w:t>L'office recourant reproche encore à la juridiction cantonale d'avoir arrêté le statut d'active (80 %) et de ménagère (20 %) de l'intimée en se référant aux déclarations faites par celle-ci après la décision du 18 mai 2006 qui rejetait la requête de prestations et non aux premières déclarations sur lesquelles reposait la décision mentionnée. Il estime également qu'il n'existe pas d'éléments concrets mais seulement de simples allégations pour étayer les hypothèses d'un avancement professionnel ou d'une situation financière familiale précaire invoquées comme argument par l'assurée et utilisées par les premiers juges pour justifier leur décision.</w:t>
      </w:r>
    </w:p>
    <w:p>
      <w:r>
        <w:rPr>
          <w:b/>
        </w:rPr>
        <w:t>E. 3.2</w:t>
      </w:r>
    </w:p>
    <w:p>
      <w:r>
        <w:t>En l'espèce, le raisonnement tenu par l'administration ne révèle ni appréciation manifestement inexacte des preuves, ni violation du droit fédéral. Bien que les différentes déclarations successives de l'assurée puissent paraître contradictoires, on relèvera que la jurisprudence concernant les premières déclarations ou les déclarations de la première heure (cf. ATF 121 V 45 consid. 2a p. 47) ne constitue pas une règle de droit immuable, faute de quoi elle entrerait en conflit avec le principe de la libre appréciation des preuves (cf. art. 61 let . c in fine LPGA). On ajoutera que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Il n'est dès lors pas arbitraire de retenir un statut d'active de 80 % et de ménagère de 20 % compte tenu de la naissance d'un second enfant et des implications que cela peut entraîner sur une situation financière déjà difficile.</w:t>
      </w:r>
    </w:p>
    <w:p>
      <w:r>
        <w:rPr>
          <w:b/>
        </w:rPr>
        <w:t>E. 4</w:t>
      </w:r>
    </w:p>
    <w:p>
      <w:r>
        <w:t>Au regard de ce qui précède, il convient d'annuler le jugement attaqué et de renvoyer la cause à la juridiction cantonale pour qu'elle mette en oeuvre une expertise judiciaire et rende un nouveau jugement.</w:t>
      </w:r>
    </w:p>
    <w:p>
      <w:r>
        <w:rPr>
          <w:b/>
        </w:rPr>
        <w:t>E. 5</w:t>
      </w:r>
    </w:p>
    <w:p>
      <w:r>
        <w:t>Vu l'issue du litige, les frais judiciaires sont mis à la charge de l'assurée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