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9C_137/2023 vom 20. März 2023</w:t>
      </w:r>
    </w:p>
    <w:p>
      <w:r>
        <w:t>Bundesgericht, 2023-03-20, FR</w:t>
      </w:r>
    </w:p>
    <w:p>
      <w:r>
        <w:rPr>
          <w:b/>
        </w:rPr>
        <w:t xml:space="preserve">Quelle: </w:t>
      </w:r>
      <w:r>
        <w:t>https://mcp.opencaselaw.ch/entscheid/bger_9C_137_2023</w:t>
      </w:r>
    </w:p>
    <w:p>
      <w:r>
        <w:t>FR: TF 9C_137/2023 du 20 mars 2023</w:t>
      </w:r>
    </w:p>
    <w:p>
      <w:r>
        <w:t>IT: TF 9C_137/2023 del 20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9C_137/2023</w:t>
      </w:r>
    </w:p>
    <w:p>
      <w:r>
        <w:t>Arrêt du 20 mars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de la Cour de justice de la République et canton de Genève du 2 décembre 2022 (A/1437/2022 ATAS/1066/2022).</w:t>
      </w:r>
    </w:p>
    <w:p>
      <w:r>
        <w:t>Vu :</w:t>
      </w:r>
    </w:p>
    <w:p>
      <w:r>
        <w:t>le recours du 8 février 2023 (timbre postal) contre l'arrêt de la Cour de justice de la République et canton de Genève, Chambre des assurances sociales, du 2 décembre 2022, remis le 14 décembre 2022 à A.________, selon attestation postale,</w:t>
      </w:r>
    </w:p>
    <w:p>
      <w:r>
        <w:t>la demande d'assistance judiciaire présentée avec le recours,</w:t>
      </w:r>
    </w:p>
    <w:p>
      <w:r>
        <w:t>considérant :</w:t>
      </w:r>
    </w:p>
    <w:p>
      <w:r>
        <w:t>que le recours n'a pas été interjeté dans le délai de trente jours prévu par l' art. 100 al. 1 LTF , échu, après suspension durant les féries de fin d'année du 18 décembre au 2 janvier inclus, le 1er février 2023 selon les art. 44 à 48 LTF,</w:t>
      </w:r>
    </w:p>
    <w:p>
      <w:r>
        <w:t>que le recours doit être déclaré irrecevable selon la procédure simplifiée de l' art. 108 al. 1 let. a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que, au vu l'issue du litige, la demande d'assistance judiciaire devient sans objet,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20 mars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