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137/2012 vom 5. April 2012</w:t>
      </w:r>
    </w:p>
    <w:p>
      <w:r>
        <w:t>Bundesgericht, 2012-04-05, DE</w:t>
      </w:r>
    </w:p>
    <w:p>
      <w:r>
        <w:rPr>
          <w:b/>
        </w:rPr>
        <w:t xml:space="preserve">Quelle: </w:t>
      </w:r>
      <w:r>
        <w:t>https://mcp.opencaselaw.ch/entscheid/bger_9C_137_2012</w:t>
      </w:r>
    </w:p>
    <w:p>
      <w:r>
        <w:t>FR: TF 9C 137/2012 du 5 avril 2012</w:t>
      </w:r>
    </w:p>
    <w:p>
      <w:r>
        <w:t>IT: TF 9C 137/2012 del 5 aprile 2012</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Die Vorinstanz gelangte zum Ergebnis, die BVG-Sammelstiftung Swiss Life habe im Zusammenhang mit den Angaben zur Zahlstelle, der Beglaubigung der Unterschriften durch eine ausländische Botschaft sowie letztlich mit der Auszahlung des Vorsorgeguthabens auf ein Firmenkonto im Wissen darum, dass der Versicherte nicht Inhaber des Kontos gewesen sei, ihre Sorgfaltspflicht verletzt. Entgegen ihrer Auffassung hätte genügend Anlass zu entsprechenden Abklärungen bestanden. Solche wären nicht nur zumutbar, sondern auch verhältnismässig gewesen. Die Beschwerdeführerin stellt sich im Wesentlichen auf den Standpunkt, die unterbreiteten Vollmachten hätten explizit die Befugnis des Patronato Z.________ zur Entgegennahme und Herausgabe von Geldern eingeräumt. Die Formularangaben hätten nicht darauf schliessen lassen, dass es sich um ein allgemeines Firmenkonto handle. Eine notarielle Beglaubigung sei weder durch das Gesetz noch durch ein Reglement gefordert. Ebenso seien die Unterschriften geprüft worden. Ausserdem sei ihr das Patronato Z.________ gut bekannt gewesen. Sie habe unter den gegebenen Umständen die erforderliche und zumutbare Sorgfaltspflicht erfüllt.</w:t>
      </w:r>
    </w:p>
    <w:p>
      <w:r>
        <w:rPr>
          <w:b/>
        </w:rPr>
        <w:t>E. 3</w:t>
      </w:r>
    </w:p>
    <w:p>
      <w:r>
        <w:t>Der von der Beschwerdeführerin auf das Konto des Patronato Z.________ ausbezahlte Betrag in der Höhe von Fr. 265'156.- entspricht dem Altersguthaben per 31. Oktober 2007. Im Streit liegt demnach der Leistungsanspruch aus dem Vorsorgeverhältnis resp. Anschluss-Vertrag J4391.</w:t>
      </w:r>
    </w:p>
    <w:p>
      <w:r>
        <w:rPr>
          <w:b/>
        </w:rPr>
        <w:t>E. 4.1</w:t>
      </w:r>
    </w:p>
    <w:p>
      <w:r>
        <w:t>Gemäss dem bei den Akten liegenden Reglement für das Vorsorgewerk der S.________ AG, gültig ab 1. Januar 2005, kann die versicherte Person grundsätzlich die Auszahlung des vorhandenen Altersguthabens in einem Betrag verlangen (Art. 13 Abs. 5 erster Abschnitt). Eine entsprechende schriftliche Erklärung ist spätestens ein Jahr vor Erreichen des ordentlichen Rücktrittsalters bzw. spätestens ein Jahr vor dem allfälligen vorzeitigen Rücktritt abzugeben. Ab diesem Zeitpunkt ist sie unwiderruflich. Bei verheirateten Personen ist die Erklärung als Zeichen der Zustimmung durch den Ehegatten mitzuunterzeichnen (zweiter Abschnitt).</w:t>
      </w:r>
    </w:p>
    <w:p>
      <w:r>
        <w:rPr>
          <w:b/>
        </w:rPr>
        <w:t>E. 4.2</w:t>
      </w:r>
    </w:p>
    <w:p>
      <w:r>
        <w:t>Im Bereich der weitergehenden Vorsorge wird das Rechtsverhältnis zwischen der Vorsorgeeinrichtung und dem Vorsorgenehmer durch einen privatrechtlichen Vorsorgevertrag begründet, der rechtsdogmatisch den Innominatverträgen zuzuordnen ist ( BGE 132 V 149 E. 5 S. 150 mit Hinweisen; 130 V 103 E. 3.3 S. 109; 116 V 218 E. 2 S. 221; vgl. auch BGE 119 V 283 E. 2a). Es stellt sich die Frage, ob die Beschwerdeführerin gestützt auf das Schreiben des Patronato Z.________ vom 12. Juni 2007 das vorhandene Altersguthaben des Beschwerdegegners mit befreiender Wirkung auszahlen konnte.</w:t>
      </w:r>
    </w:p>
    <w:p>
      <w:r>
        <w:rPr>
          <w:b/>
        </w:rPr>
        <w:t>E. 4.3</w:t>
      </w:r>
    </w:p>
    <w:p>
      <w:r>
        <w:t>Sowohl die Vorinstanz als auch die Parteien bezeichnen den eingeklagten Betrag fälschlicherweise als Schaden, der dem Beschwerdegegner infolge unsorgfältigen Handelns der Beschwerdeführerin entstanden sein soll. Tatsächlich verlangt der Beschwerdegegner Erfüllung eines Vertrags. Das Rechtsbegehren in der Klage geht denn auch in diese Richtung, lautet es doch auf Erbringung der "Austrittsleistung" in der Höhe von Fr. 265'156.- (zum Begriff der Austrittsleistung vgl. E. 6 hinten). Die Beschwerdeführerin ist auf Grund der vertraglichen Vereinbarung, die zur Errichtung des Vorsorgeverhältnisses geführt hat, gehalten, dem Beschwerdegegner auf sein Verlangen hin das bestehende Guthaben gemäss Vertrags- resp. Reglementsbedingungen auszuzahlen. Mit anderen Worten hat die Schuldnerin dem Gläubiger zu leisten. Leistet sie einem unberechtigten Dritten, hat sie grundsätzlich nicht erfüllt, und zwar auch dann, wenn sie in gutem Glauben leistet (Urteil 4A_536/2008 vom 10. Februar 2009 E. 5.2 mit Hinweis auf BGE 132 III 449 E. 2 S. 452; 112 II 450 E. 3a S. 454; 111 II 263 E. 1 S. 265; 108 II 314 E. 2 S. 315 f.; GAUCH/SCHLUEP/SCHMID/EMMENEGGER, Schweizerisches Obligationenrecht, Allgemeiner Teil, Bd. II, 9. Aufl. 2008, S. 11 Rz. 2072 f. und S. 14 Rz. 2093; URS LEU, Basler Kommentar, 5. Aufl. 2011, N. 7 zu Art. 68 OR ; ROLF H. WEBER, Berner Kommentar, 2. Aufl. 2005, N. 121 zu Art. 68 OR ; MARIUS SCHRANER, Zürcher Kommentar, 3. Aufl. 2000, N. 117 zu Art. 68 OR ; VON TUHR/ESCHER, Allgemeiner Teil des Schweizerischen Obligationenrechts, Bd. II, 3. Aufl. 1974, S. 21 f.). Der Fall unterscheidet sich vom Sachverhalt, der in BGE 130 V 103 zu beurteilen war.</w:t>
      </w:r>
    </w:p>
    <w:p>
      <w:r>
        <w:rPr>
          <w:b/>
        </w:rPr>
        <w:t>E. 4.4</w:t>
      </w:r>
    </w:p>
    <w:p>
      <w:r>
        <w:t>Der Nachweis richtiger Erfüllung des Vertrags obliegt der Vertragsschuldnerin. Nach dem Gesagten trägt sie in der Regel das Risiko einer Leistung an einen Unberechtigten. Ob und inwieweit eine Überwälzung dieses Risikos auf den Beschwerdegegner zulässig ist, kann offen bleiben, da die Beschwerdeführerin eine solche nicht geltend macht und auch keine entsprechende Vertragsklausel aktenkundig ist.</w:t>
      </w:r>
    </w:p>
    <w:p>
      <w:r>
        <w:rPr>
          <w:b/>
        </w:rPr>
        <w:t>E. 5</w:t>
      </w:r>
    </w:p>
    <w:p>
      <w:r>
        <w:t>Wie die Vorinstanz für das Bundesgericht verbindlich festgestellt hat (vgl. E. 1.1), handelt es sich bei der Unterschrift des Beschwerdegegners auf der Vollmacht vom 11. Juni 2007 betreffend "Altersleistungen aus Vertrag J4391" um eine Fälschung. Auch weitere Unterschriften des Beschwerdegegners und dessen Ehefrau, die A.________ verwendet hat, sind gefälscht, insbesondere diejenigen auf dem Auszahlungsantrag in Bezug auf den Vertrag J4391 mit Angabe der Zahlstelle vom 4. Oktober 2007. Die Beschwerdeführerin selber spricht ebenfalls von gefälschten Unterschriften und manipulierten Konten. Für die sich daraus ergebenden Folgen hat sie einzustehen (vgl. E. 4.3). Daran ändert der Umstand, dass ihr das Patronato Z.________ aus diversen Prozessen (z.B. Invaliditätsleistungen) als seriöse Organisation bekannt gewesen ist, nichts. Eine solch allgemeine, vom vorliegenden Fall losgelöste Wahrnehmung stellt keinen Grund dar, sie aus der Haftung zu entlassen.</w:t>
      </w:r>
    </w:p>
    <w:p>
      <w:r>
        <w:rPr>
          <w:b/>
        </w:rPr>
        <w:t>E. 6.1</w:t>
      </w:r>
    </w:p>
    <w:p>
      <w:r>
        <w:t>Die Vorinstanz hat eine Verzugszinsberechnung nach den Bestimmungen über die Freizügigkeitsleistung vorgenommen. Streitgegenstand ist hier jedoch nicht eine Austrittsleistung, bevor ein Vorsorgefall eingetreten ist ( Art. 2 Abs. 1 und 1bis FZG ), sondern der in Kapitalform bezogene Teil des Altersguthabens auf den Zeitpunkt des Altersrentenbeginns (sogenannte Kapitalabfindung; vgl. Art. 37 BVG ).</w:t>
      </w:r>
    </w:p>
    <w:p>
      <w:r>
        <w:rPr>
          <w:b/>
        </w:rPr>
        <w:t>E. 6.2</w:t>
      </w:r>
    </w:p>
    <w:p>
      <w:r>
        <w:t>Im Berufsvorsorgerecht werden sowohl im Leistungs- wie auch im Beitragsbereich Verzugszinsen zugelassen. Die zu bezahlenden Verzugszinsen ergeben sich in erster Linie aus dem Reglement der Vorsorgeeinrichtung. Bei Fehlen entsprechender Regelungen ist Art. 104 Abs. 1 OR heranzuziehen, wonach ein Verzugszins von 5 % geschuldet ist ( BGE 119 V 131 E. 4b S. 134). Nach der Rechtsprechung gelten reglementarische Leistungsansprüche als Forderungen mit einem bestimmten Verfalltag, weshalb die Vorsorgeeinrichtung grundsätzlich in Verzug gerät, ohne dass eine Mahnung des Versicherten nötig wäre ( BGE 127 V 377 E. 5e/bb S. 389 f.).</w:t>
      </w:r>
    </w:p>
    <w:p>
      <w:r>
        <w:rPr>
          <w:b/>
        </w:rPr>
        <w:t>E. 6.3</w:t>
      </w:r>
    </w:p>
    <w:p>
      <w:r>
        <w:t>Mangels anderweitiger Regelung ist die eingeklagte Forderung zu 5 % ab 1. November 2007 zu verzinsen.</w:t>
      </w:r>
    </w:p>
    <w:p>
      <w:r>
        <w:rPr>
          <w:b/>
        </w:rPr>
        <w:t>E. 7</w:t>
      </w:r>
    </w:p>
    <w:p>
      <w:r>
        <w:t>Angesichts der klaren prozessualen Ausgangslage erübrigte es sich, dem Sistierungsgesuch der Beschwerdeführerin zu entsprechen, zumal der von ihr erwähnte Prozess gegen die Freizügigkeitsstiftung der UBS abgeschlossen ist (Urteil 9C_675/2011 vom 28. März 2012).</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