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9C_137/2011 vom 25. Oktober 2011</w:t>
      </w:r>
    </w:p>
    <w:p>
      <w:r>
        <w:t>Bundesgericht, 2011-10-25, DE</w:t>
      </w:r>
    </w:p>
    <w:p>
      <w:r>
        <w:rPr>
          <w:b/>
        </w:rPr>
        <w:t xml:space="preserve">Quelle: </w:t>
      </w:r>
      <w:r>
        <w:t>https://mcp.opencaselaw.ch/entscheid/bger_9C_137_2011</w:t>
      </w:r>
    </w:p>
    <w:p>
      <w:r>
        <w:t>FR: TF 9C_137/2011 du 25 octobre 2011</w:t>
      </w:r>
    </w:p>
    <w:p>
      <w:r>
        <w:t>IT: TF 9C_137/2011 del 25 ottobre 2011</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2</w:t>
      </w:r>
    </w:p>
    <w:p>
      <w:r>
        <w:t>Nach Art. 11 Abs. 1 lit. g ELG (und nach Art. 3c Abs. 1 lit. g ELG in der bis 31. Dezember 2007 gültig gewesenen Fassung) werden Einkünfte und Vermögenswerte, auf die verzichtet worden ist, als Einnahmen angerechnet. Anzurechnen sind nach der Rechtsprechung Einkünfte und Vermögenswerte auf die verzichtet worden ist, wenn der Anspruchsberechtigte ohne rechtliche Verpflichtung und ohne adäquate Gegenleistung auf Einkünfte oder Vermögen verzichtet hat ( BGE 134 I 65 E. 3.2 S. 70; 131 V 329 E. 4.2 S. 332 mit weiteren Hinweisen zum inhaltlich gleich lautenden, bis zum 31. Dezember 2007 in Kraft gestandenen Art. 3c Abs. 1 lit. g ELG ). Die beiden Voraussetzungen sind alternativ zu verstehen ( BGE 131 V 329 E. 4.3 f. S. 334 ff.).</w:t>
      </w:r>
    </w:p>
    <w:p>
      <w:r>
        <w:rPr>
          <w:b/>
        </w:rPr>
        <w:t>E. 3</w:t>
      </w:r>
    </w:p>
    <w:p>
      <w:r>
        <w:t>Aus dem massgeblichen Sachverhalt und dem vorinstanzlichen Entscheid geht hervor, dass der Beschwerdegegner auf keine Vermögenswerte verzichtet hat, was vorliegend auch nicht bestritten ist. Der Kaufpreis des in Frage stehenden Grundstückes von Fr. 225'000.- erfuhr in der Tat eine Verrechnung mit der auf dem hälftigen Miteigentumsanteil lastenden Hypothek von Fr. 348'750.-, die von K.________, dem Sohn des Beschwerdeführers übernommen wurde. Dagegen betrachtet das beschwerdeführende Amt M.________ als ehemaligen Miteigentümer der genannten Liegenschaft und möchte die Mietzinseinnahmen als Verzichtseinkommen angerechnet haben. Demnach steht kein direkter sondern ein indirekter Verzicht auf Einkünfte als Folge der Vermögensveräusserung im Vordergrund.</w:t>
      </w:r>
    </w:p>
    <w:p>
      <w:r>
        <w:rPr>
          <w:b/>
        </w:rPr>
        <w:t>E. 4.1</w:t>
      </w:r>
    </w:p>
    <w:p>
      <w:r>
        <w:t>Bei Verzicht auf unbewegliches Vermögen ist als hypothetischer Ertrag der Betrag anzurechnen, der bei zinstragender Anlage des abgetretenen Vermögens erzielbar wäre. Dabei ist grundsätzlich vom durchschnittlichen Zinssatz für Spareinlagen im Vorjahr des Bezugsjahres auszugehen (SVR 2009 EL Nr. 6 S. 21, 8C_68/2008 E. 4.2.2 mit Hinweis auf BGE 123 V 35 E. 2a S. 37; WEL Rz 2092 Abs. 2). Die Rechtsprechung und Praxis nehmen damit nicht die Fiktion an, dass das betreffende Vermögensobjekt noch Teil des Vermögens des Ansprechers der Ergänzungsleistungen bildet. Vielmehr fingieren sie, dass diesem eine adäquate Gegenleistung zugeflossen ist, wobei das hypothetische Vermögen dem möglichen Verkaufserlös entspricht (RALPH JÖHL, Die Ergänzungsleistung und ihre Berechnung, in: Soziale Sicherheit, SBVR, Bd. XIV, 2. Auflage, 2010, S. 1785 Rz 212; vgl. SVR 2009 EL Nr. 6 S. 21, 8C_68/2008 E. 4.2.3).</w:t>
      </w:r>
    </w:p>
    <w:p>
      <w:r>
        <w:rPr>
          <w:b/>
        </w:rPr>
        <w:t>E. 4.2</w:t>
      </w:r>
    </w:p>
    <w:p>
      <w:r>
        <w:t>Das beschwerdeführende Amt beanstandet die vorinstanzliche Betrachtungsweise, wonach die Person, welche sich kein Vermögen anrechnen, sich auch keinen hypothetischen Vermögensverzehr oder Vermögensertrag daraus entgegenhalten lassen müsse. Der Beschwerdegegner sei als ehemaliger Miteigentümer der in Frage stehenden Liegenschaft zu betrachten, wobei er durch die Veräusserung seines hälftigen Anteils ohne triftigen Grund, ohne Not und im Ergebnis ohne Entschädigung in erheblichem Umfang auf Mietzinseinnahmen verzichtet habe. Es sei davon auszugehen, dass der Beschwerdegegner sich gerade deshalb des hälftigen Teils der Liegenschaft entäussert habe, weil sich die Anrechnung dieses Vermögenswerts und der damit verbundenen Mietzinseinnahmen ungünstig auf seinen Anspruch auf Ergänzungsleistungen ausgewirkt hätte.</w:t>
      </w:r>
    </w:p>
    <w:p>
      <w:r>
        <w:rPr>
          <w:b/>
        </w:rPr>
        <w:t>E. 4.3</w:t>
      </w:r>
    </w:p>
    <w:p>
      <w:r>
        <w:t>Wie in E. 3 dargelegt, ist im vorliegenden Fall kein Vermögensverzicht gegeben, weil dem Kaufpreis des in Frage stehenden Grundstückes von Fr. 225'000.- eine Verrechnung mit der auf dem hälftigen Miteigentumsanteil lastende Hypothek von Fr. 348'750 zu Grunde liegt, welche laut Vertrag mit K.________ vom Sohn des Versicherten zur alleinigen Rückzahlung und Verzinsung übernommen wurde. Daraus folgt, dass aus dem Liegenschaftsverkauf zwischen M.________ und seinem Sohn kein neues Vermögen entstand. Dabei ist zu beachten, dass sich aus einem nicht vorhandenen Vermögen keine Einkünfte bilden lassen. Indem der Beschwerdeführer dessen ungeachtet den mit der Liegenschaft erzielbaren Ertrag anrechnen möchte, würde er eine Situation aufrecht halten, die auch im Falle eines Vermögensverzichts nicht aufrecht erhalten wird (vgl. E. 4.1). Es gibt keinen triftigen Grund, im Rahmen eines el-rechtlich nicht zu beanstandenden Liegenschaftsverkaufs eine Annahme zu treffen - die Liegenschaft sei nach wie vor Teil des Vermögens des Beschwerdegegners -, die selbst bei einem zu günstig veräusserten Vermögenswert keine Rolle spielt (vgl. STUCKER/DELGADO, in: Der Schweizer Treuhänder 8/2010, S. 515 Ziff. 4.4 in fine). Dies gilt umso mehr, als es dabei um die Festlegung eines Wertes ginge, der - seit dem Verkauf - ausserhalb des Einflussbereichs des Versicherten liegt, sondern in demjenigen eines eigenständig handelnden Dritten.</w:t>
      </w:r>
    </w:p>
    <w:p>
      <w:r>
        <w:t>Aus dem Gesagten ergibt sich, dass dem Beschwerdegegner zu Recht kein Verzichtseinkommen angerechnet wurde. Der vorinstanzliche Entscheid ist somit zu bestätigen.</w:t>
      </w:r>
    </w:p>
    <w:p>
      <w:r>
        <w:rPr>
          <w:b/>
        </w:rPr>
        <w:t>E. 5</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