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135/2021 vom 27. April 2021</w:t>
      </w:r>
    </w:p>
    <w:p>
      <w:r>
        <w:t>Bundesgericht, 2021-04-27, DE</w:t>
      </w:r>
    </w:p>
    <w:p>
      <w:r>
        <w:rPr>
          <w:b/>
        </w:rPr>
        <w:t xml:space="preserve">Quelle: </w:t>
      </w:r>
      <w:r>
        <w:t>https://mcp.opencaselaw.ch/entscheid/bger_9C_135_2021</w:t>
      </w:r>
    </w:p>
    <w:p>
      <w:r>
        <w:t>FR: TF 9C 135/2021 du 27 avril 2021</w:t>
      </w:r>
    </w:p>
    <w:p>
      <w:r>
        <w:t>IT: TF 9C 135/2021 del 27 aprile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Bei einer Neuanmeldung zum Bezug von Leistungen der Invalidenversicherung finden die Grundsätze zur Rentenrevision analog Anwendung ( Art. 17 Abs. 1 ATSG ; Art. 87 Abs. 2 und 3 IVV [SR 831.201]; BGE 130 V 71 E. 3.2.3). 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 Liegt in diesem Sinne ein Revisionsgrund vor, ist - in einem zweiten Schritt - der Rentenanspruch in rechtlicher und tatsächlicher Hinsicht umfassend ("allseitig") zu prüfen, wobei keine Bindung an frühere Beurteilungen besteht ( BGE 141 V 9 E. 2.3; Urteil 9C_626/2019 vom 26. November 2019 E. 2).</w:t>
      </w:r>
    </w:p>
    <w:p>
      <w:r>
        <w:rPr>
          <w:b/>
        </w:rPr>
        <w:t>E. 2.2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 mit Hinweis).</w:t>
      </w:r>
    </w:p>
    <w:p>
      <w:r>
        <w:rPr>
          <w:b/>
        </w:rPr>
        <w:t>E. 2.3</w:t>
      </w:r>
    </w:p>
    <w:p>
      <w:r>
        <w:t>Bei den gerichtlichen Feststellungen zum Gesundheitszustand und zur Arbeitsfähigkeit handelt es sich grundsätzlich um Tatfragen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w:t>
      </w:r>
    </w:p>
    <w:p>
      <w:r>
        <w:rPr>
          <w:b/>
        </w:rPr>
        <w:t>E. 3.1</w:t>
      </w:r>
    </w:p>
    <w:p>
      <w:r>
        <w:t>Die Vorinstanz hat festgestellt, dass sich laut Verlaufsgutachten des Dr. med. B.________ keine zuverlässigen Hinweise auf eine Veränderung seit der Vorbegutachtung gefunden hätten. Die behandelnden Ärzte hätten verschiedene neue Diagnosen gestellt, die der Gutachter aber nicht bestätigt habe. Sodann hat sie dem Verlaufsgutachten des Dr. med. B.________, worin (wie bereits im Vorgutachten vom 24. September 2014) keine Diagnose mit Auswirkung auf die Arbeitsfähigkeit gestellt wurde, Beweiskraft beigemessen und folglich einen Rentenanspruch verneint.</w:t>
      </w:r>
    </w:p>
    <w:p>
      <w:r>
        <w:rPr>
          <w:b/>
        </w:rPr>
        <w:t>E. 3.2</w:t>
      </w:r>
    </w:p>
    <w:p>
      <w:r>
        <w:t>Mit diesem Ergebnis hat das kantonale Gericht - wenn auch erst nach Würdigung des Verlaufsgutachtens - eine anspruchsrelevante Veränderung des Sachverhalts seit Erlass der anspruchsverneinenden Verfügung vom 10. Dezember 2014 zwar implizit, aber unmissverständlich verneint. Die dazu im Widerspruch stehende Feststellung in E. 3.2 des angefochtenen Entscheids, wonach sich die Frage nach einer wesentlichen Verschlechterung des Gesundheitszustandes gestützt auf die Aktenlage nicht abschliessend beurteilen lasse, ist unhaltbar (vgl. vorangehende E. 1). Vorbehalten bleibt, dass dem Verlaufsgutachten hinsichtlich der für einen Rentenanspruch erforderlichen Sachverhaltsveränderung (vgl. vorangehende E. 2.1) Beweiskraft zukommt, was im Folgenden zu prüfen ist.</w:t>
      </w:r>
    </w:p>
    <w:p>
      <w:r>
        <w:rPr>
          <w:b/>
        </w:rPr>
        <w:t>E. 3.3.1</w:t>
      </w:r>
    </w:p>
    <w:p>
      <w:r>
        <w:t>Die Beschwerdeführerin behauptet zunächst eine wirtschaftliche Abhängigkeit des Dr. med. B.________ von der IV-Stelle, weshalb Zweifel an dessen Unabhängigkeit "wohl berechtigt" seien. Dazu habe sich die Vorinstanz aber nicht geäussert, sondern sich hinter dem Nichteintretensentscheid vom 21. Februar 2018 "versteckt".</w:t>
      </w:r>
    </w:p>
    <w:p>
      <w:r>
        <w:rPr>
          <w:b/>
        </w:rPr>
        <w:t>E. 3.3.2</w:t>
      </w:r>
    </w:p>
    <w:p>
      <w:r>
        <w:t>Die Beschwerdeführerin hatte Gelegenheit, Ausstandsgründe hinsichtlich Dr. med. B.________ mit der Beschwerde gegen die Zwischenverfügung vom 26. Oktober 2017 geltend zu machen, was sie aber nicht rechtsgültig getan hat (vgl. Sachverhalt lit. A). Die Vorinstanz hatte daher keinen Anlass, im angefochtenen Entscheid auf entsprechende Vorbringen der Versicherten einzugehen (vgl. BGE 143 V 66 E. 4.3). Davon abgesehen können unter dem Gesichtspunkt der wirtschaftlichen Abhängigkeit der regelmässige Beizug eines Gutachters durch den Versicherungsträger, die Anzahl der beim selben Arzt in Auftrag gegebenen Gutachten und Berichte sowie das daraus resultierende Honorarvolumen für sich allein genommen ohnehin nicht zum Ausstand führen ( BGE 137 V 210 E. 1.3.3; Urteil 8C_447/2020 vom 7. Oktober 2020 E. 3).</w:t>
      </w:r>
    </w:p>
    <w:p>
      <w:r>
        <w:rPr>
          <w:b/>
        </w:rPr>
        <w:t>E. 3.4.1</w:t>
      </w:r>
    </w:p>
    <w:p>
      <w:r>
        <w:t>Sodann macht die Beschwerdeführerin im Wesentlichen geltend, Dr. med. B.________ habe schon bei der ersten Expertise die früheren Arztberichte ungenügend gewürdigt. Ihre eigenen Angaben anlässlich der Begutachtung seien Grund genug, Zweifel am Gutachten des Dr. med. B.________ zu wecken. Im Vordergrund stünden eine dissoziative Störung, eine Depression und eine (allenfalls komplexe) posttraumatische Belastungsstörung, was von den behandelnden Medizinern erkannt worden sei. Damit habe sich der Experte nicht ausreichend auseinandergesetzt. Ausserdem seien keine Berichte über die (gescheiterte) Eingliederung eingeholt worden, und der Gutachter habe diesbezüglich keine Abklärungen getroffen. Sie habe lange Zeit vieles verdrängt und einfach funktioniert, bis der Zusammenbruch gekommen sei. Es greife zu kurz, einfach auf die frühere Erwerbstätigkeit zu verweisen, da diese gerade infolge gesundheitlicher Veränderungen nicht mehr möglich sei. Der von Dr. med. B.________ beigezogene Neuropsychologe habe kognitive Funktionsstörungen festgestellt, die mit der früheren Tätigkeit nicht mehr vereinbar seien. Damit weise das Gutachten zahlreiche (materielle) Mängel auf.</w:t>
      </w:r>
    </w:p>
    <w:p>
      <w:r>
        <w:rPr>
          <w:b/>
        </w:rPr>
        <w:t>E. 3.4.2</w:t>
      </w:r>
    </w:p>
    <w:p>
      <w:r>
        <w:t>Im hier interessierenden Zusammenhang ist nicht von Belang, ob die (früheren oder aktuellen) diagnostischen Einordnungen des Dr. med. B.________ zutreffen. Ebensowenig ist ausschlaggebend, dass die Beschwerdeführerin vom 5. Mai bis zum 11. Juni 2015 in stationärer und vom 15. Juni bis zum 26. November 2015 in tageskli nischer Behandlung stand. Entscheidend ist in concreto einzig, ob im massgeblichen Zeitraum (Neua nmeldung im Mai 2017; Erlass der an gefochtenen Verfügung am 30. Januar 2020) eine erhebliche (und anhaltende; vgl. Art. 88a Abs. 2 IVV ) Veränderung der Befundlage im Vergleich zu jener im Dezember 2014 eintrat (vgl. vorangehende E. 2.1). Eine solche verneinten sowohl Dr. med. B.________ als auch der beigezogene Neuropsychologe nachvollziehbar. Auch die behandelnden Ärzte (vgl. Berichte der C.________ AG vom 11. Juni 2015 und 21. Januar 2016, der Dr. med. D.________ vom 23. Mai 2018 und des Dr. med. E.________ vom 3. Dezember 2018) scheinen von einer im Wesentlichen unveränderten Situation seit dem Ende der Erwerbstätigkeit im Jahr 2013 auszugehen. Soweit die Beschwerdeführerin überhaupt gesundheitliche Veränderungen anspricht, legt sie auch nicht ansatzweise dar, dass diese im massgeblichen Zeitraum eingetreten sein sollen. Ihre weitere Kritik am Verlaufsgutachten des Dr. med. B.________ zielt ins Leere; diesbezügliche Weiterungen erübrigen sich.</w:t>
      </w:r>
    </w:p>
    <w:p>
      <w:r>
        <w:rPr>
          <w:b/>
        </w:rPr>
        <w:t>E. 3.5</w:t>
      </w:r>
    </w:p>
    <w:p>
      <w:r>
        <w:t>Nach dem Gesagten genügt das Verlaufsgutachten des Dr. med. B.________ in Bezug auf den entscheidenden Punkt den Anforderungen an die Beweiskraft. Die darauf beruhende vorinstanzliche Feststellung betreffend die (fehlende) anspruchsrelevante Veränderung des Sachverhalts (vgl. vorangehende E. 3.2) ist auch nicht offensichtlich unrichtig (unhaltbar, willkürlich: BGE 135 II 145 E. 8.1; Urteil 9C_607/2012 vom 17. April 2013 E. 5.2). Sie bleibt daher für das Bundesgericht verbindlich (vgl. vorangehende E. 1).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