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134/2020 vom 2. März 2020</w:t>
      </w:r>
    </w:p>
    <w:p>
      <w:r>
        <w:t>Bundesgericht, 2020-03-02, DE</w:t>
      </w:r>
    </w:p>
    <w:p>
      <w:r>
        <w:rPr>
          <w:b/>
        </w:rPr>
        <w:t xml:space="preserve">Quelle: </w:t>
      </w:r>
      <w:r>
        <w:t>https://mcp.opencaselaw.ch/entscheid/bger_9C_134_2020</w:t>
      </w:r>
    </w:p>
    <w:p>
      <w:r>
        <w:t>FR: TF 9C 134/2020 du 2 mars 2020</w:t>
      </w:r>
    </w:p>
    <w:p>
      <w:r>
        <w:t>IT: TF 9C 134/2020 del 2 marzo 2020</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02.03.2020 9C 134/2020 (9C_134/2020) Tribunal fédéral IVe Cour de droit public (IIe Cour de droit social) 02.03.2020 9C 134/2020 (9C_134/2020) Tribunale federale IV Corte di diritto pubblico (II Corte di diritto sociale) 02.03.2020 9C 134/2020 (9C_134/2020)</w:t>
      </w:r>
    </w:p>
    <w:p>
      <w:r>
        <w:t>Alters- und Hinterlassenenversicherung | Alters- und Hinterlassenenversicherung</w:t>
      </w:r>
    </w:p>
    <w:p>
      <w:r>
        <w:t>Bundesgericht Tribunal fédéral Tribunale federale Tribunal federal 9C_134/2020 Urteil vom 2. März 2020 II. sozialrechtliche Abteilung Besetzung Bundesrichter Parrino, Präsident, Gerichtsschreiber Williner. Verfahrensbeteiligte A.________, Beschwerdeführerin, gegen GastroSocial Ausgleichskasse, Buchserstrasse 1, 5001 Aarau, Beschwerdegegnerin, B.________, Gegenstand Alters- und Hinterlassenenversicherung, Beschwerde gegen den Entscheid des Verwaltungsgerichts des Kantons Bern vom 6. Januar 2020 (200 19 363 AHV). Nach Einsicht in die Beschwerde vom 16. Februar 2020 (Poststempel) gegen den Entscheid des Verwaltungsgerichts des Kantons Bern vom 6. Januar 2020 und das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S. 88 f.; 134 V 53 E. 3.3 S. 60), dass die Beschwerde diesen inhaltlichen Mindestanforderungen nicht genügt, da sie zwar ein Rechtsbegehren enthält, den Ausführungen aber nichts entnommen werden kann, was darauf hindeuten würde, die vorinstanzlichen Sachverhaltsfeststellungen seien im Sinne von Art. 97 Abs. 1 BGG - soweit überhaupt beanstandet - qualifiziert unzutreffend (unhaltbar, willkürlich; BGE 140 V 22 E. 7.3.1 S. 39; 135 II 145 E. 8.1 S. 153) und die darauf beruhenden Erwägungen rechtsfehlerhaft (vgl. Art. 95 BGG ), dass dies insbesondere der Fall ist in Bezug auf die vorinstanzlichen Erwägungen, wonach Unkenntnis ein Organ nicht von der ihm allenfalls unbewusst übernommenen Verantwortung entlaste, und die geltend gemachten Vereinbarungen zwischen der Beschwerdeführerin und einem früheren Geschäftsführer lediglich das Innenverhältnis zwischen diesen beschlage, dass sich die Vorbringen der Beschwerdeführerin, soweit verständlich und sachbezogen, darauf beschränken, die eigene Sichtweise wiederzugeben sowie rein appellatorische Kritik zu üben, was im bundesgerichtlichen Verfahren nicht ausreicht ( BGE 140 III 264 E. 2.3 S. 266 mit Hinweisen), dass deshalb im vereinfachten Verfahren nach Art. 108 Abs. 1 lit. b BGG auf die Beschwerde nicht einzutreten ist, dass mangels einer gültigen Beschwerde die unentgeltliche Rechtspflege ausscheidet ( Art. 64 BGG ), indessen umständehalber auf die Erhebung von Gerichtskosten verzichtet wird ( Art. 66 Abs. 1 Satz 2 BGG ), erkennt der Präsident: 1. Auf die Beschwerde wird nicht eingetreten. 2. Es werden keine Gerichtskosten erhoben. 3. Dieses Urteil wird den Parteien, B.________, dem Verwaltungsgericht des Kantons Bern und dem Bundesamt für Sozialversicherungen schriftlich mitgeteilt. Luzern, 2. März 2020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