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134/2009 vom 5. August 2009</w:t>
      </w:r>
    </w:p>
    <w:p>
      <w:r>
        <w:t>Bundesgericht, 2009-08-05, DE</w:t>
      </w:r>
    </w:p>
    <w:p>
      <w:r>
        <w:rPr>
          <w:b/>
        </w:rPr>
        <w:t xml:space="preserve">Quelle: </w:t>
      </w:r>
      <w:r>
        <w:t>https://mcp.opencaselaw.ch/entscheid/bger_9C_134_2009</w:t>
      </w:r>
    </w:p>
    <w:p>
      <w:r>
        <w:t>FR: TF 9C 134/2009 du 5 août 2009</w:t>
      </w:r>
    </w:p>
    <w:p>
      <w:r>
        <w:t>IT: TF 9C 134/2009 del 5 agosto 2009</w:t>
      </w:r>
    </w:p>
    <w:p>
      <w:pPr>
        <w:pStyle w:val="Heading2"/>
      </w:pPr>
      <w:r>
        <w:t>Regeste</w:t>
      </w:r>
    </w:p>
    <w:p>
      <w:r>
        <w:t>Invalidenversicherung | Invalidenversicherung</w:t>
      </w:r>
    </w:p>
    <w:p>
      <w:pPr>
        <w:pStyle w:val="Heading2"/>
      </w:pPr>
      <w:r>
        <w:t>Erwägungen</w:t>
      </w:r>
    </w:p>
    <w:p>
      <w:r>
        <w:rPr>
          <w:b/>
        </w:rPr>
        <w:t>E. 1.1</w:t>
      </w:r>
    </w:p>
    <w:p>
      <w:r>
        <w:t>Die Beschwerde gegen einen selbstständig eröffneten Zwischenentscheid über den Ausstand gemäss Art. 92 BGG ist zulässig, wobei entgegen der Auffassung des Beschwerdeführers das Erfordernis eines nicht wiedergutzumachenden Nachteils nicht besteht (vgl. demgegenüber Art. 93 Abs. 1 lit. a BGG ).</w:t>
      </w:r>
    </w:p>
    <w:p>
      <w:r>
        <w:rPr>
          <w:b/>
        </w:rPr>
        <w:t>E. 1.2</w:t>
      </w:r>
    </w:p>
    <w:p>
      <w:r>
        <w:t>Soweit der Beschwerdeführer seine Eingabe als subsidiäre Verfassungsbeschwerde bezeichnet und auch verstanden haben will, ist darauf nicht einzutreten. Denn dieses Rechtsmittel ist gemäss Art. 113 BGG nur zulässig, soweit keine Beschwerdemöglichkeit nach den Artikeln 72-89 BGG gegeben ist. Da im vorliegenden Fall die Beschwerde in öffentlich-rechtlichen Angelegenheiten gemäss Art. 82 ff. BGG zulässig ist (vgl. E. 1.1. hievor), ist auf eine subsidiäre Verfassungsbeschwerde nicht einzutreten.</w:t>
      </w:r>
    </w:p>
    <w:p>
      <w:r>
        <w:rPr>
          <w:b/>
        </w:rPr>
        <w:t>E. 1.3</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2.1</w:t>
      </w:r>
    </w:p>
    <w:p>
      <w:r>
        <w:t>Die Vorinstanz hat die Bestimmungen und Grundsätze zur Abklärung des Sachverhalts durch unabhängige Sachverständige ( Art. 44 ATSG , welcher auch im Abklärungsverfahren der Invalidenversicherung anwendbar ist, vgl. zur Publikation in BGE 135 vorgesehenes Urteil 9C_204/2009 vom 6. Juli 2009) sowie zu den Ausstands- und Ablehnungsgründen ( BGE 132 V 93 E. 7.1 S. 110) für dieselben zutreffend dargelegt. Insbesondere ist richtig, dass bei der Ablehnung von Sachverständigen zwischen Einwendungen formeller und materieller Natur zu unterscheiden ist, wobei die gesetzlichen Ausstandsgründe zu den Einwendungen formeller Natur gehören und darüber in einer selbstständig anfechtbaren Zwischenverfügung zu befinden ist, wogegen Einwendungen materieller Natur, zum Beispiel betreffend die Sachkunde eines Gutachters, nicht dessen Unparteilichkeit beschlagen und deshalb mit dem Entscheid in der Sache selbst im Rahmen der Beweiswürdigung zu behandeln sind. Darauf wird verwiesen.</w:t>
      </w:r>
    </w:p>
    <w:p>
      <w:r>
        <w:rPr>
          <w:b/>
        </w:rPr>
        <w:t>E. 2.2</w:t>
      </w:r>
    </w:p>
    <w:p>
      <w:r>
        <w:t>Gestützt darauf hat die Vorinstanz zutreffend erwogen, der Vorwurf des Beschwerdeführers der wirtschaftlichen Abhängigkeit der beiden vorgesehenen Gutachter Dr. med. L.________ und Dr. med. H.________ auf Grund der beinahe ausschliesslichen Tätigkeit für die IV-Stelle sei unbegründet. Eine wirtschaftliche Abhängigkeit von der beauftragten Stelle vermöge allein keine begründeten Zweifel an der Unabhängigkeit der begutachtenden Person zu erwecken. Wenn selbst aus dem Umstand, dass ein Arzt oder eine Ärztin in einem Anstellungsverhältnis zum Versicherungsträger stehe wie etwa bei Ärzten der MEDAS, nicht auf mangelnde Objektivität und auf Befangenheit zu schliessen ist, könne dieser Vorwurf umso weniger gegenüber freiberuflichen Experten erhoben werden, welche einzig zufolge ihrer Gutachtertätigkeit in Kontakt mit der IV-Stelle stehen. Entscheidend sei, dass fachlich-inhaltlich eine Weisungsunabhängigkeit der begutachtenden Ärzte bestehe (Urteil I 885/06 vom 20. Juni 2007). Die Rüge der Befangenheit sei deshalb unbegründet.</w:t>
      </w:r>
    </w:p>
    <w:p>
      <w:r>
        <w:rPr>
          <w:b/>
        </w:rPr>
        <w:t>E. 2.3</w:t>
      </w:r>
    </w:p>
    <w:p>
      <w:r>
        <w:t>Das Bundesgericht hat sich wiederholt zum Vorwurf der Befangenheit von Gutachtern wegen wirtschaftlicher Abhängigkeit von der Invalidenversicherung auf Grund regelmässiger Gutachteraufträge geäussert. So wurde unlängst in SVR 2008 IV Nr. 22 (9C_67/2007 E. 2.4) erneut bestätigt, dass eine ausgedehnte Gutachtertätigkeit für die Verwaltung keine Befangenheit zu begründen vermag und daran trotz gelegentlich in Rechtsschriften und in der Literatur vorgebrachter Kritik, wer dem Versicherungsträger wirtschaftlich nahe stehe, könne nicht unparteiisch sein (Alfred Bühler, Versicherungsinterne Gutachten und Privatgutachten, in: Schaffhauser/Schlauri [Hrsg.], Rechtsfragen der medizinischen Begutachtung in der Sozialversicherung, St. Gallen 1997, S. 179 ff., 220 f.; Leo R. Gehrer, Zur Erhebung und Würdigung medizinischer Entscheidungsgrundlagen im Sozialversicherungsrecht, SJZ 2000 S. 461 ff., 462 f.), festzuhalten ist (vgl. auch das den Beschwerdeführer betreffende Urteil 9C_772/2008 vom 17. November 2008).</w:t>
      </w:r>
    </w:p>
    <w:p>
      <w:r>
        <w:rPr>
          <w:b/>
        </w:rPr>
        <w:t>E. 2.4</w:t>
      </w:r>
    </w:p>
    <w:p>
      <w:r>
        <w:t>Die (zum Teil weitschweifigen) Vorbringen des Beschwerdeführers bieten - soweit überhaupt sachbezogen - keinen Anlass zu einer grundsätzlichen Abkehr von dieser Rechtsprechung. Zunächst übersieht der Beschwerdeführer, dass der Gutachter Dr. med. H.________ gerade nicht Angestellter der Invalidenversicherung, sondern als selbstständig praktizierender Psychiater tätig ist. Sodann ist der Verweis auf eine "Praxisänderung ohne sachliche Gründe" in BGE 122 V 160 schon deshalb unbehelflich, weil für die Frage der Befangenheit vielmehr entscheidend ist, dass fachlich-inhaltlich eine Weisungsunabhängigkeit der begutachtenden Ärzte besteht (erwähntes Urteil I 885/06). Schliesslich gebietet sich entgegen der Auffassung des Beschwerdeführers eine Praxisänderung auch nicht im Lichte der Rechtsprechung des EGMR. Wie bereits im Zwischenentscheid vom 15. Juni 2009 ausgeführt, widerspricht die Rechtsauffassung des Beschwerdeführers dieser Rechtsprechung (vgl. Nichtzulassungsentscheid vom 22. Juni 1999 [betreffend BGE 122 V 157 ], publiziert in VPB 2000 Nr. 138 S. 1341). Daran vermag auch das vom Beschwerdeführer zitierte Urteil des EGMR in Sachen Sara Lind Eggertsdóttir gegen Island vom 5. Juli 2007 Nr. 31930/04 nichts zu ändern, betrifft dieses doch einen grundlegend anderen Sachverhalt (Darin wurde im Rahmen einer gegen Ärzte des staatlichen National and University Hospital, NUH, gerichteten Verantwortlichkeitsklage betreffend einen Behandlungsfehler nicht in erster Linie kritisiert, das höchste isländische Gericht habe eine Expertenmeinung des State Medico-Legal Board, SMLB, eingeholt, einem Gremium von Gerichtsmedizinern, welche ihrerseits auch im NUH tätig waren; entscheidendwesentlich war vielmehr dessen heikle Aufgabe, eine Analyse und Bewertung der Leistung ihrer Kollegen am NUH vorzunehmen, mit dem Ziel, die oberste Gerichtsbehörde in der Klärung der Frage der Haftung ihres Arbeitgebers zu unterstützen, vgl. E. Ziff. 51 des Urteils; Urteile 8C_943/2008 vom 1. April 2009 E. 4.2 und 8C_762/2008 vom 7. Mai 2009 E. 2.4). Auch steht vorliegend nicht das Verhältnis von verschiedenen Gutachten untereinander in Frage, sodass die diesbezüglichen Vorbringen zur Waffengleichheit ins Leere zielen. Dies gilt ebenso für die Einwände gestützt auf das Recht auf Achtung des Privatlebens nach Art. 8 EMRK und das Recht auf Selbstbestimmung sowie die Vorbringen bezüglich des Akteneinsichtsrechts.</w:t>
      </w:r>
    </w:p>
    <w:p>
      <w:r>
        <w:rPr>
          <w:b/>
        </w:rPr>
        <w:t>E. 3</w:t>
      </w:r>
    </w:p>
    <w:p>
      <w:r>
        <w:t>Die Gerichtskosten werden dem Beschwerdeführer als unterliegender Partei auferlegt ( Art. 66 Abs. 1 BGG ). Wie eingangs erwähnt, wurde sein Gesuch um unentgeltliche Rechtspflege mit Zwischenentscheid vom 15. Juni 2009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