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9C_133/2021 vom 22. April 2021</w:t>
      </w:r>
    </w:p>
    <w:p>
      <w:r>
        <w:t>Bundesgericht, 2021-04-22, DE</w:t>
      </w:r>
    </w:p>
    <w:p>
      <w:r>
        <w:rPr>
          <w:b/>
        </w:rPr>
        <w:t xml:space="preserve">Quelle: </w:t>
      </w:r>
      <w:r>
        <w:t>https://mcp.opencaselaw.ch/entscheid/bger_9C_133_2021</w:t>
      </w:r>
    </w:p>
    <w:p>
      <w:r>
        <w:t>FR: TF 9C_133/2021 du 22 avril 2021</w:t>
      </w:r>
    </w:p>
    <w:p>
      <w:r>
        <w:t>IT: TF 9C_133/2021 del 22 aprile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Umstritten ist, ob die Allianz die dem Beschwerdegegner bis Ende Juni 2017 ausgerichtete ganze Invalidenrente aus obligatorischer beruflicher Vorsorge aufheben durfte.</w:t>
      </w:r>
    </w:p>
    <w:p>
      <w:r>
        <w:rPr>
          <w:b/>
        </w:rPr>
        <w:t>E. 2.2.1</w:t>
      </w:r>
    </w:p>
    <w:p>
      <w:r>
        <w:t>Ein Entscheid der IV-Stelle oder - im Beschwerdefall - des kantonalen Sozialversicherungsgerichts ( Art. 57 ATSG ) resp. des Bundesgerichts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Diese Bindungswirkung findet ihre positivrechtliche Grundlage in den Art. 23, 24 Abs. 1 und 26 Abs. 1 BVG, welche an die Regelung des IVG anknüpfen oder diese übernehmen ( BGE 143 V 434 E. 2.2; 133 V 67 E. 4.3.2; Urteil 9C_552/2020 vom 1. Dezember 2020 E. 3.2).</w:t>
      </w:r>
    </w:p>
    <w:p>
      <w:r>
        <w:rPr>
          <w:b/>
        </w:rPr>
        <w:t>E. 2.2.2</w:t>
      </w:r>
    </w:p>
    <w:p>
      <w:r>
        <w:t>Eine Rente nach BVG (d.h. aus obligatorischer beruflicher Vorsorge) ist unter denselben materiellen Voraussetzungen wie eine Rente der Invalidenversicherung revisionsweise anzupassen oder aufzuheben, was sich für den Fall der Aufhebung bereits aus Art. 26 Abs. 3 BVG (in der aktuellen Version und in den älteren Fassungen) ergibt ( BGE 143 V 434 E. 2.3; 133 V 67 E. 4.3.1).</w:t>
      </w:r>
    </w:p>
    <w:p>
      <w:r>
        <w:t>Ändert sich der Invaliditätsgrad eines Rentenbezügers erheblich, so wird die Rente der Invalidenversicherung von Amtes wegen oder auf Gesuch hin für die Zukunft entsprechend erhöht, herabgesetzt oder aufgehoben ( Art. 17 Abs. 1 ATSG i.V.m. Art. 2 ATSG und Art. 1 Abs. 1 IVG ; vgl. auch BGE 141 V 9 E. 2.3).</w:t>
      </w:r>
    </w:p>
    <w:p>
      <w:r>
        <w:rPr>
          <w:b/>
        </w:rPr>
        <w:t>E. 3.1</w:t>
      </w:r>
    </w:p>
    <w:p>
      <w:r>
        <w:t>Wie bereits im vorinstanzlichen Verfahren steht fest und ist unbestritten, dass die IV-Stelle sowohl den Vorbescheid ("Mitteilung Beschluss") vom 25. September 2018 als auch die - unangefochten gebliebene - Verfügung vom 11. Oktober 2018 der Allianz eröffnet hatte. Das kantonale Gericht hat die erwähnte Verfügung der IV-Stelle (weiterhin bestehender Rentenanspruch) als nicht offensichtlich unhaltbar qualifiziert, eine Bindung daran bejaht und eine "davon losgelöste, gleichsam autonome Leistungsüberprüfung" für unzulässig gehalten. Folglich hat es die Klage des Versicherten - in der Hauptsache - gutgeheissen.</w:t>
      </w:r>
    </w:p>
    <w:p>
      <w:r>
        <w:rPr>
          <w:b/>
        </w:rPr>
        <w:t>E. 3.2</w:t>
      </w:r>
    </w:p>
    <w:p>
      <w:r>
        <w:t>Dass die Verfügung der IV-Stelle vom 11. Oktober 2018 offensichtlich unhaltbar sein soll, ist nicht ersichtlich und macht die Beschwerdeführerin auch nicht ansatzweise geltend. Diese begründet auch nicht näher, weshalb die fehlende Verwertbarkeit der hinzugewonnenen Arbeitsfähigkeit (wie von der IV-Stelle angenommen; vgl. Sachverhalt lit. A.b) nur für die Invalidenversicherung, nicht aber für die obligatorische berufliche Vorsorge von Bedeutung sein soll. Solches leuchtet denn auch nicht ein (vgl. vorangehende E. 2.2.2), zumal der genannte Aspekt massgeblich für die Bemessung und Entwicklung des Invaliditätsgrads ist.</w:t>
      </w:r>
    </w:p>
    <w:p>
      <w:r>
        <w:rPr>
          <w:b/>
        </w:rPr>
        <w:t>E. 3.3</w:t>
      </w:r>
    </w:p>
    <w:p>
      <w:r>
        <w:t>Soweit sich die Beschwerdeführerin für eine freie Überprüfung des umstrittenen Rentenanspruchs auf die Urteile 9C_118/2012 vom 13. Februar 2013 (dortige E. 2.1) und 9C_889/2009 vom 2. Februar 2010 (dortige E. 2.2) beruft, ergibt sich nichts zu ihren Gunsten. Einerseits betrifft diese Rechtsprechung die weitergehende und nicht die obligatorische berufliche Vorsorge; anderseits ist sie durch BGE 138 V 409 und 141 V 405 ohnehin überholt ( BGE 143 V 434 E. 3.4.2).</w:t>
      </w:r>
    </w:p>
    <w:p>
      <w:r>
        <w:rPr>
          <w:b/>
        </w:rPr>
        <w:t>E. 3.4</w:t>
      </w:r>
    </w:p>
    <w:p>
      <w:r>
        <w:t>Sodann hilft der Hinweis der Beschwerdeführerin auf das Vorliegen einer "altrechtlichen" Invalidenrente (vgl. Art. 23 BVG in der bis zum 31. Dezember 2004 geltenden Fassung [AS 1983 797]) und auf lit. f der Übergangsbestimmungen der Änderung vom 3. Oktober 2003 (1. BVG-Revision) BVG nicht weiter. Zwar setzt der Rentenanspruch gemäss aArt. 23 BVG einen minimalen Invaliditätsgrad von 50 % voraus, während gemäss der aktuellen Fassung der Bestimmung ein solcher von 40 % genügt. Dieser Umstand ändert aber nichts am Grundsatz, dass die Rentenaufhebung den Voraussetzungen von Art. 17 ATSG unterliegt und diesbezüglich eine Bindung an die invalidenversicherungsrechtliche Betrachtung besteht (vgl. vorangehende E. 2.2). In beiden Versionen von Art. 23 BVG ist denn auch explizit die Invalidität "im Sinne der IV" ("au sens de l'AI"; "nel senso dell'AI") entscheidend.</w:t>
      </w:r>
    </w:p>
    <w:p>
      <w:r>
        <w:rPr>
          <w:b/>
        </w:rPr>
        <w:t>E. 3.5</w:t>
      </w:r>
    </w:p>
    <w:p>
      <w:r>
        <w:t>Schliesslich bringt die Allianz vor, die Weiterausrichtung der Rente der Invalidenversicherung beruhe nicht auf dem Gesundheitsschaden, der die ursprüngliche Leistungspflicht der Vorsorgeeinrichtung begründet habe; der sachliche Konnex (vgl. dazu BGE 138 V 409 E. 6.2, Urteil 9C_450/2020 vom 26. November 2020 E. 2.1.2) sei unterbrochen. Indessen zielt auch dieser Einwand ins Leere. Zum einen steht hier nicht die Entstehung, sondern die Aufhebung der (zuvor anerkannten) Leistungszuständigkeit zur Diskussion. Zum andern begründete die IV-Stelle das Weiterbestehen des Rentenanspruchs einzig mit der fehlenden Verwertbarkeit der verbesserten Arbeitsfähigkeit. Es besteht kein Anhaltspunkt für einen von der ursprünglichen Beeinträchtigung unabhängigen, neu hinzugetretenen und für sich invalidisierenden Gesundheitsschaden. Somit ist ein neuer Versicherungsfall, der allenfalls die Allianz ihrer Leistungspflicht entheben könnte (vgl. BGE 138 V 409 E. 6.3), ausgeschlossen.</w:t>
      </w:r>
    </w:p>
    <w:p>
      <w:r>
        <w:rPr>
          <w:b/>
        </w:rPr>
        <w:t>E. 3.6</w:t>
      </w:r>
    </w:p>
    <w:p>
      <w:r>
        <w:t>Es gibt keinen Hinweis darauf, dass sich nach Abschluss des invalidenversicherungsrechtlichen Revisionsverfahrens (am 11. Oktober 2018) ein Revisionstatbestand im Sinne von Art. 17 Abs. 1 ATSG verwirklicht haben soll (vgl. BGE 138 V 409 E. 3.3). Nach dem Gesagten hat die Vorinstanz kein Bundesrecht verletzt, indem sie eine Bindung an die Verfügung der IV-Stelle vom 11. Oktober 2018 bejaht und dementsprechend - ohne die Verwertbarkeit der Arbeitsfähigkeit zu überprüfen - die Voraussetzungen für die Aufhebung der Rente aus beruflicher Vorsorge verneint hat. Die Beschwerde ist unbegründet.</w:t>
      </w:r>
    </w:p>
    <w:p>
      <w:r>
        <w:rPr>
          <w:b/>
        </w:rPr>
        <w:t>E. 4</w:t>
      </w:r>
    </w:p>
    <w:p>
      <w:r>
        <w:t>Mit diesem Urteil wird das Gesuch der Beschwerdeführerin um aufschiebende Wirkung gegenstandslos.</w:t>
      </w:r>
    </w:p>
    <w:p>
      <w:r>
        <w:rPr>
          <w:b/>
        </w:rPr>
        <w:t>E. 5</w:t>
      </w:r>
    </w:p>
    <w:p>
      <w:r>
        <w:t>Dem Ausgang des Verfahrens entsprechend sind die Gerichtskosten der Beschwerdeführerin aufzuerlegen ( Art. 66 Abs. 1 BGG ). Der obsiegende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