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9C_132/2018 vom 14. Mai 2018</w:t>
      </w:r>
    </w:p>
    <w:p>
      <w:r>
        <w:t>Bundesgericht, 2018-05-14, DE</w:t>
      </w:r>
    </w:p>
    <w:p>
      <w:r>
        <w:rPr>
          <w:b/>
        </w:rPr>
        <w:t xml:space="preserve">Quelle: </w:t>
      </w:r>
      <w:r>
        <w:t>https://mcp.opencaselaw.ch/entscheid/bger_9C_132_2018</w:t>
      </w:r>
    </w:p>
    <w:p>
      <w:r>
        <w:t>FR: TF 9C_132/2018 du 14 mai 2018</w:t>
      </w:r>
    </w:p>
    <w:p>
      <w:r>
        <w:t>IT: TF 9C_132/2018 del 14 maggio 2018</w:t>
      </w:r>
    </w:p>
    <w:p>
      <w:pPr>
        <w:pStyle w:val="Heading2"/>
      </w:pPr>
      <w:r>
        <w:t>Erwägungen</w:t>
      </w:r>
    </w:p>
    <w:p>
      <w:r>
        <w:rPr>
          <w:b/>
        </w:rPr>
        <w:t>E. 1</w:t>
      </w:r>
    </w:p>
    <w:p>
      <w:r>
        <w:t>Soweit sich der Beschwerdeführer gegen die Rückerstattung der ihm vergüteten Krankheitskosten im Betrag von Fr. 6'738.35 wendet, ist darauf nicht einzutreten, weil die Vorinstanz darüber noch nicht befunden hat.</w:t>
      </w:r>
    </w:p>
    <w:p>
      <w:r>
        <w:rPr>
          <w:b/>
        </w:rPr>
        <w:t>E. 2</w:t>
      </w:r>
    </w:p>
    <w:p>
      <w:r>
        <w:t>Unter sämtlichen Verfahrensbeteiligten ist zu Recht unbestritten, dass der Beschwerdeführer die ab Dezember 2011 bezogenen Ergänzungsleistungen - unabhängig von einem eigenen Verschulden - grundsätzlich zurückzuerstatten hat, weil ihm zufolge eines Einnahmenüberschusses solche Leistungen gar nie zustanden (Art. 25 Abs. 1 erster Satz ATSG [SR 830.1]; Art. 9 Abs. 1 ELG [SR 831.30]; BGE 140 V 521 E. 3 S. 526; 122 V 134 ). Der Versicherte stellt sich indessen auf den Standpunkt, die einjährige Verwirkungsfrist sei bereits verstrichen gewesen, als die Ausgleichskasse ihre Rückerstattungsverfügung vom 22. November 2016 erliess.</w:t>
      </w:r>
    </w:p>
    <w:p>
      <w:r>
        <w:rPr>
          <w:b/>
        </w:rPr>
        <w:t>E. 3.1</w:t>
      </w:r>
    </w:p>
    <w:p>
      <w:r>
        <w:t>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140 V 521 E. 2.1 S. 525 mit Hinweisen).</w:t>
      </w:r>
    </w:p>
    <w:p>
      <w:r>
        <w:rPr>
          <w:b/>
        </w:rPr>
        <w:t>E. 3.2</w:t>
      </w:r>
    </w:p>
    <w:p>
      <w:r>
        <w:t>Das kantonale Gericht hat die Rechtsprechung richtig wiedergegeben, wonach mit Bezug auf den Beginn der einjährigen relativen Verwirkungsfrist nicht die tatsächliche, sondern die zumutbare Kenntnis des zur Rückforderung Anlass gebenden Sachverhalts massgebend ist. Fristauslösend ist dabei nicht das erstmalige unrichtige Handeln des Durchführungsorgans und die daran anknüpfende unrechtmässige Leistungsausrichtung. Vielmehr ist auf jenen Tag abzustellen, an dem die Verwaltung später - etwa aufgrund eines zusätzlichen Indizes - bei Beachtung der gebotenen und ihr zumutbaren Aufmerksamkeit sich hinsichtlich ihres Fehlers hätte Rechenschaft geben und erkennen müssen, dass die Voraussetzungen für eine Rückforderung gegeben sind ( BGE 139 V 570 E. 3.1 S. 572; 124 V 380 E. 1 S. 382 f.; 122 V 270 E. 5b/aa S. 275; 110 V 304 E. 2b in fine S. 306 f.; SVR 2015 EL Nr. 13 S. 37, 9C_585/2014 E. 4.1.2).</w:t>
      </w:r>
    </w:p>
    <w:p>
      <w:r>
        <w:t>Dieser Rechtsprechung liegt u.a. die Überlegung zugrunde, dass bei einer Neuberechnung der EL grundsätzlich bloss die dazu Anlass gebenden Änderungen tatsächlicher oder rechtlicher Natur zu beachten und zu berücksichtigen sind. Dagegen ist nicht jedes Mal bzw. lediglich bei entsprechenden Anhaltspunkten zu prüfen, ob die Angaben im Anmeldeformular seinerzeit auch richtig umgesetzt worden sind. Anders verhält es sich bei der periodischen, mindestens alle vier Jahre vorzunehmenden Überprüfung der wirtschaftlichen Verhältnisse (vgl. Art. 30 ELV [SR 831.301]). Spätestens in diesem Zeitpunkt gilt eine allenfalls unrechtmässige Leistungsausrichtung als erkennbar, sodass die relative einjährige Verwirkungsfrist zu laufen beginnt, sobald der Rückforderungsanspruch als solcher und betragsmässig feststeht ( BGE 139 V 570 E. 3.1 S. 572; SVR 2011 EL Nr. 7 S. 21, 9C_999/2009 E. 3.2.1). Darüber hinaus kann jedoch - mit Blick darauf, dass die Ergänzungsleistung in der Regel für die Dauer eines Jahres festgesetzt wird ( Art. 9 Abs. 1 ELG ; BGE 128 V 39 ) und somit jährlich neu zu berechnen ist - nicht von Gesetzes wegen schon von einer früheren zumutbaren Kenntnis der EL-Durchführungsstelle bezüglich einer allfälligen fehlerhaften erstmaligen Anspruchsberechnung und Leistungsfestsetzung ausgegangen werden. Eine jährliche Verifizierung jeder einzelnen Position in der EL-Berechnung stellte einen im Rahmen der Massenverwaltung kaum zu bewältigenden Aufwand dar, welchem Umstand der Verordnungsgeber mit Art. 30 ELV , wonach die wirtschaftlichen Verhältnisse periodisch, mindestens alle vier Jahre zu überprüfen sind, in gesetzeskonformer Weise Rechnung getragen hat ( BGE 139 V 570 E. 3.1 S. 572 f.).</w:t>
      </w:r>
    </w:p>
    <w:p>
      <w:r>
        <w:rPr>
          <w:b/>
        </w:rPr>
        <w:t>E. 4</w:t>
      </w:r>
    </w:p>
    <w:p>
      <w:r>
        <w:t>Im Weitern hat die Vorinstanz zutreffend erkannt, dass die streitige einjährige relative Verwirkungsfrist gemäss Art. 25 Abs. 2 ATSG nicht bereits abgelaufen war, als die Ausgleichskasse am 22. November 2016 ihre Rückforderungsverfügung erliess. Die (erste) periodische Überprüfung der wirtschaftlichen Verhältnisse, welche zur Entdeckung des seinerzeitigen Versehens führte, war erst im August 2016 eingeleitet worden. Selbst wenn (mit Blick auf Art. 30 ELV ) von einer Fristauslösung schon im Dezember 2015 auszugehen wäre (vier Jahre nach der ersten EL-Verfügung vom 13. Dezember 2011), stünde die Rechtzeitigkeit der Rückerstattungsverfügung vom 22. November 2016 ausser Frage. Soweit der Beschwerdeführer die einjährige Verwirkungsfrist hier unter Berufung auf eine "andere Sichtweise" bereits ab Frühjahr 2015 laufen lassen will kann ihm nicht gefolgt werden. Eine solche Lösung widerspräche in jedem Fall der dargelegten Rechtsprechung (E. 3.2 hievor), wonach eine unrechtmässige EL-Ausrichtung in der Regel vor Durchführung einer periodischen Überprüfung der wirtschaftlichen Verhältnisse als nicht erkennbar gilt (oder zumindest nicht vor Ablauf von vier Jahren seit der fehlerhaften Erstverfügung). Die vom Versicherten ferner angeführten Umstände lieferten - entgegen seiner Auffassung - allesamt keine Anhaltspunkte für eine nachträgliche Prüfung, ob die Angaben im Anmeldeformular seinerzeit auch richtig umgesetzt worden waren. Nur darauf kommt es im vorliegenden Zusammenhang an.</w:t>
      </w:r>
    </w:p>
    <w:p>
      <w:r>
        <w:rPr>
          <w:b/>
        </w:rPr>
        <w:t>E. 5</w:t>
      </w:r>
    </w:p>
    <w:p>
      <w:r>
        <w:t>Die Gerichtskosten werden dem Beschwerdeführer als unterliegender Partei auferlegt ( Art. 66 Abs. 1 BGG ). Sie sind indessen, weil die Voraussetzungen für die Bewilligung der unentgeltlichen Rechtspflege (im Sinne unentgeltlicher Prozessführung und Verbeiständung) erfüllt sind ( Art. 64 Abs. 1 und 2 BGG ; vgl. BGE 125 V 201 E. 4a S. 202 und 371 E. 5b S. 372, je mit Hinweisen), einstweilen auf die Bundesgerichtskasse zu nehmen. Es wird jedoch ausdrücklich auf Art. 64 Abs. 4 BGG aufmerksam gemacht, wonach die begünstigte Partei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