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130/2021 vom 29. März 2021</w:t>
      </w:r>
    </w:p>
    <w:p>
      <w:r>
        <w:t>Bundesgericht, 2021-03-29, FR</w:t>
      </w:r>
    </w:p>
    <w:p>
      <w:r>
        <w:rPr>
          <w:b/>
        </w:rPr>
        <w:t xml:space="preserve">Quelle: </w:t>
      </w:r>
      <w:r>
        <w:t>https://mcp.opencaselaw.ch/entscheid/bger_9C_130_2021</w:t>
      </w:r>
    </w:p>
    <w:p>
      <w:r>
        <w:t>FR: TF 9C 130/2021 du 29 mars 2021</w:t>
      </w:r>
    </w:p>
    <w:p>
      <w:r>
        <w:t>IT: TF 9C 130/2021 del 29 marzo 2021</w:t>
      </w:r>
    </w:p>
    <w:p>
      <w:pPr>
        <w:pStyle w:val="Heading2"/>
      </w:pPr>
      <w:r>
        <w:t>Regeste</w:t>
      </w:r>
    </w:p>
    <w:p>
      <w:r>
        <w:t>Allocations pour perte de gain en cas de service et de maternité (condition de recevabilité) | Régime allocations et pertes de gain</w:t>
      </w:r>
    </w:p>
    <w:p>
      <w:pPr>
        <w:pStyle w:val="Heading2"/>
      </w:pPr>
      <w:r>
        <w:t>Volltext</w:t>
      </w:r>
    </w:p>
    <w:p>
      <w:r>
        <w:t>Bundesgericht IV. Öffentlich-rechtliche Abteilung (II. Sozialrechtliche Abteilung) 29.03.2021 9C 130/2021 (9C_130/2021) Tribunal fédéral IVe Cour de droit public (IIe Cour de droit social) 29.03.2021 9C 130/2021 (9C_130/2021) Tribunale federale IV Corte di diritto pubblico (II Corte di diritto sociale) 29.03.2021 9C 130/2021 (9C_130/2021)</w:t>
      </w:r>
    </w:p>
    <w:p>
      <w:r>
        <w:t>Allocations pour perte de gain en cas de service et de maternité (condition de recevabilité) | Régime allocations et pertes de gain</w:t>
      </w:r>
    </w:p>
    <w:p>
      <w:r>
        <w:t>Bundesgericht Tribunal fédéral Tribunale federale Tribunal federal 9C_130/2021 Arrêt du 29 mars 2021 IIe Cour de droit social Composition M. le Juge fédéral Parrino, Président. Greffière : Mme Perrenoud. Participants à la procédure A.________, recourante, contre Caisse cantonale genevoise de compensation, rue des Gares 12, 1202 Genève, intimée. Objet Allocations pour perte de gain en cas de service et de maternité (COVID-19) (condition de recevabilité), recours contre le jugement de la Cour de justice de la République et canton de Genève, Chambre des assurances sociales, du 22 décembre 2020 (A/3181/2020 ATAS/1282/2020). Vu : la décision du 2 juillet 2020, par laquelle la Caisse cantonale genevoise de compensation (ci-après: la caisse de compensation) a rejeté la demande d'allocation pour perte de gain en cas de coronavirus présentée par A.________ en avril 2020, la décision du 15 septembre 2020, par laquelle la caisse de compensation a rejeté l'opposition formée par l'assurée contre la décision du 2 juillet 2020, le jugement du 22 décembre 2020, par lequel la Cour de justice de la République et canton de Genève, Chambre des assurances sociales, a rejeté le recours formé par A.________ contre la décision sur opposition du 15 septembre 2020, le recours interjeté par A.________ le 18 février 2021 (timbre postal) contre ce jugement, l'ordonnance du 19 février 2021, par laquelle le Tribunal fédéral a informé l'intéressée qu'elle avait la possibilité de remédier aux irrégularités que son recours semblait présenter (défaut de motivation et de conclusions) avant l'expiration du délai de recours, l'absence de réaction de A.________ dans le délai imparti, considérant : qu'aux termes de l' art. 42 LTF , le recours doit indiquer les conclusions, les motifs et les moyens de preuve (al. 1) et exposer succinctement en quoi l'acte attaqué est contraire au droit (al. 2), qu'à défaut, il est irrecevable, qu'en l'espèce, dans son écriture du 18 février 2021, A.________ se contente en substance de faire part de son désaccord en relation avec le rejet de sa demande d'allocation pour perte de gain en cas de coronavirus par la caisse de compensation, et d'indiquer qu'elle est au bord de la faillite et que la caisse de compensation disposait de tous les documents justifiant sa demande, que, ce faisant, elle ne démontre pas que et en quoi la juridiction cantonale aurait violé le droit fédéral au sens de l' art. 95 let. a LTF ou constaté les faits de façon manifestement inexacte (ou arbitraire, cf. ATF 134 V 53 consid. 4.3 p. 62) au sens de l' art. 97 al. 1 LTF , en confirmant la décision administrative litigieuse, que, dans la mesure où il ne répond manifestement pas aux exigences de l' art. 42 al. 1 et 2 LTF , le recours doit être déclaré irrecevable selon la procédure simplifiée de l' art. 108 al. 1 let. b LTF , qu'en application de l' art. 66 al. 1 2 ème phrase LTF, il convient de renoncer à la perception des frais judiciaires,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29 mars 2021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