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12/2016 vom 29. Januar 2016</w:t>
      </w:r>
    </w:p>
    <w:p>
      <w:r>
        <w:t>Bundesgericht, 2016-01-29, DE</w:t>
      </w:r>
    </w:p>
    <w:p>
      <w:r>
        <w:rPr>
          <w:b/>
        </w:rPr>
        <w:t xml:space="preserve">Quelle: </w:t>
      </w:r>
      <w:r>
        <w:t>https://mcp.opencaselaw.ch/entscheid/bger_9C_12_2016</w:t>
      </w:r>
    </w:p>
    <w:p>
      <w:r>
        <w:t>FR: TF 9C 12/2016 du 29 janvier 2016</w:t>
      </w:r>
    </w:p>
    <w:p>
      <w:r>
        <w:t>IT: TF 9C 12/2016 del 29 gennaio 2016</w:t>
      </w:r>
    </w:p>
    <w:p>
      <w:pPr>
        <w:pStyle w:val="Heading2"/>
      </w:pPr>
      <w:r>
        <w:t>Regeste</w:t>
      </w:r>
    </w:p>
    <w:p>
      <w:r>
        <w:t>Invalidenversicherung (Prozessvoraussetzung) | Invalidenversicherung</w:t>
      </w:r>
    </w:p>
    <w:p>
      <w:pPr>
        <w:pStyle w:val="Heading2"/>
      </w:pPr>
      <w:r>
        <w:t>Erwägungen</w:t>
      </w:r>
    </w:p>
    <w:p>
      <w:r>
        <w:rPr>
          <w:b/>
        </w:rPr>
        <w:t>E. 1</w:t>
      </w:r>
    </w:p>
    <w:p>
      <w:r>
        <w:t>Unter Berufung auf das von der Vorinstanz im Beschwerdeentscheid betreffend vorsorgliche Renteneinstellung vom 8. September 2011 erwähnte Urteil 9C_45/2010 vom 12. April 2010 E. 2.2 (SVR 2011 IV Nr. 12 S. 32), in welchem eine vorsorgliche Renteneinstellung für den Fall bestätigt wurde, dass das Hauptverfahren (die Rentenrevision) speditiv weitergeführt und innert nützlicher Frist abgeschlossen werde, macht der Beschwerdeführer in Ziff. 1 und 2 seiner Begründung substanziiert eine Verfahrensverzögerung geltend. Diese hatte er bereits mit einer Eingabe vom 29. April 2014 gegenüber der mit der IVSTA kooperierenden IV-Stelle Basel-Stadt gerügt. Daher ist auf die Beschwerde einzutreten, ohne dass ein nicht wieder gutzumachender Nachteil im Sinne von Art. 93 Abs. 1 lit. a BGG ausgewiesen sein muss (Urteil 8C_581/2014 vom 16. März 2015 E. 5.2 mit Hinweisen, in: SVR 2015 ALV Nr. 9 S. 25).</w:t>
      </w:r>
    </w:p>
    <w:p>
      <w:r>
        <w:rPr>
          <w:b/>
        </w:rPr>
        <w:t>E. 2</w:t>
      </w:r>
    </w:p>
    <w:p>
      <w:r>
        <w:t>Zu prüfen ist somit, ob die angefochtene Verfahrenssistierung gemäss Verfügung vom 18. Dezember 2015 eine unzulässige Verzögerung des Verfahrens durch Verletzung des Beschleunigungsgebotes darstellt. Das ist bei den gegebenen Umständen ohne weiteres zu bejahen. Das Bundesverwaltungsgericht setzt sich in Widerspruch zu seinem Entscheid vom 8. September 2011, worin es die Beschwerdegegnerin anhielt, "das Revisionsverfahren unverzüglich fortzufahren". Von diesem Zeitpunkt an vergingen zwei Jahre und neun Monate, bis die Beschwerdegegnerin am 11. Juni/4. Juli 2014 überhaupt die Revisionsverfügung erliess. Seit der Anordnung der vorsorglichen Renteneinstellung im Dezember 2010 dauerten das Administrativ- und das darauf folgende Beschwerdeverfahren am 18. Dezember 2015, als die vorinstanzliche Sistierungsverfügung erging, schon über fünf Jahre. Diese überlange Verfahrensdauer lässt sich nicht durch das hängige Strafverfahren und den allgemeinen Hinweis auf den "Grundsatz der Einheit der Rechtsordnung" (angefochtener Entscheid, S. 4 unten) rechtfertigen, ist doch nicht ersichtlich, dass und inwiefern "widersprechende Entscheide" drohten und zu vermeiden seien. Denn die Frage einer rückwirkenden Rentenaufhebung zufolge Meldepflichtverletzung beurteilt sich unabhängig davon, ob der Tatbestand des (gewerbsmässigen) Betruges, insbesondere in subjektiver Hinsicht, erfüllt ist (vgl. dazu etwa Urteil 9C_338/2015 vom 12. November 2015 E. 2 in fine mit Hinweisen). Sollte der Strafprozess, wider Erwarten, im IV-Verfahren bisher unbekannt gebliebene Tatsachen ans Licht bringen, besteht die Möglichkeit, durch prozessuale Revision ( Art. 61 lit. i ATSG ) auf eine vorher rechtskräftig gewordene sozialversicherungsrechtliche Beurteilung zurückzukommen.</w:t>
      </w:r>
    </w:p>
    <w:p>
      <w:r>
        <w:rPr>
          <w:b/>
        </w:rPr>
        <w:t>E. 3</w:t>
      </w:r>
    </w:p>
    <w:p>
      <w:r>
        <w:t>Die Beschwerde ist somit begründet. Da die Beschwerdegegnerin der Sistierung vorinstanzlich opponiert hat, ist ein Schriftenwechsel nicht erforderlich (Art. 102 in initio BGG). Gerichtskosten sind umständehalber keine zu erheben (Art. 66 Abs. 1 zweiter Satz BGG). Hingegen hat die das Prozessrisiko tragende Beschwerdegegnerin dem obsiegenden Beschwerdeführer eine angemessene Parteientschädigung auszurichten ( Art. 68 Abs. 1 BGG ). Damit ist dessen Gesuch um Gewährung der unentgeltlichen Rechtspflege ( Art. 64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