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129/2017 vom 30. August 2017</w:t>
      </w:r>
    </w:p>
    <w:p>
      <w:r>
        <w:t>Bundesgericht, 2017-08-30, DE</w:t>
      </w:r>
    </w:p>
    <w:p>
      <w:r>
        <w:rPr>
          <w:b/>
        </w:rPr>
        <w:t xml:space="preserve">Quelle: </w:t>
      </w:r>
      <w:r>
        <w:t>https://mcp.opencaselaw.ch/entscheid/bger_9C_129_2017</w:t>
      </w:r>
    </w:p>
    <w:p>
      <w:r>
        <w:t>FR: TF 9C 129/2017 du 30 août 2017</w:t>
      </w:r>
    </w:p>
    <w:p>
      <w:r>
        <w:t>IT: TF 9C 129/2017 del 30 agosto 2017</w:t>
      </w:r>
    </w:p>
    <w:p>
      <w:pPr>
        <w:pStyle w:val="Heading2"/>
      </w:pPr>
      <w:r>
        <w:t>Regeste</w:t>
      </w:r>
    </w:p>
    <w:p>
      <w:r>
        <w:t>Invalidenversicherung (Neuanmeldung)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w:t>
      </w:r>
    </w:p>
    <w:p>
      <w:r>
        <w:rPr>
          <w:b/>
        </w:rPr>
        <w:t>E. 2</w:t>
      </w:r>
    </w:p>
    <w:p>
      <w:r>
        <w:t>Tritt die Verwaltung auf die Neuanmeldung ein, so hat sie die Sache materiell abzuklären und sich zu vergewissern, ob die vom Versicherten glaubhaft gemachte Veränderung des Invaliditätsgrades tatsächlich eingetreten ist. Stellt sie fest, dass der Invaliditätsgrad seit Erlass der früheren rechtskräftigen Ablehnungsverfügung keine Veränderung erfahren hat, so weist sie das neue Gesuch ab. Im Beschwerdefall obliegt die gleiche materielle Prüfungspflicht auch dem Gericht ( BGE 117 V 198 E. 3a).</w:t>
      </w:r>
    </w:p>
    <w:p>
      <w:r>
        <w:rPr>
          <w:b/>
        </w:rPr>
        <w:t>E. 3</w:t>
      </w:r>
    </w:p>
    <w:p>
      <w:r>
        <w:t>Im interdisziplinären Gutachten des Medizinischen Zentrums Römerhof (MZR) vom 8. September 2006, welches der - vorinstanzlich bestätigten - Ablehnungsverfügung vom 6. Juni 2007 zugrunde lag, wurde dem Beschwerdeführer in psychischer Hinsicht einzig eine auf die Arbeitsunfähigkeit ohne Einfluss bleibende Dysthymie (ICD-10 F34.1) bescheinigt. Demgegenüber diagnostizierten die Fachärzte der Psychiatrie B.________ im Administrativgutachten vom 25. Juni 2013 eine andauernde Persönlichkeitsänderung nach Extrembelastung (ICD-10 F62.0) sowie eine mittelgradige bis schwere depressive Episode (ICD-10 F32.1, F32.2) und verneinten eine Arbeitsfähigkeit in jedwelcher Erwerbstätigkeit "seit mindestens der Jahrtausendwende" (bzw. "insbesondere seit dem Gutachten vom 08.09.2006"). Das kantonale Gericht hat in sorgfältiger und umfassender Würdigung der psychiatrischen Aktenlage festgestellt, dass die Differenzen zwischen den angeführten Gutachten bloss auf der unterschiedlichen Wertung eines im Wesentlichen unveränderten Sachverhalts beruhten. Auch die bei den Akten liegenden Berichte des Medizinischen Zentrums C.________ führten zu keiner andern Betrachtungsweise. Diese vorinstanzlichen Tatsachenfeststellungen können nicht als qualifiziert unrichtig im Sinne von Art. 105 Abs. 2 BGG bezeichnet werden und sind deshalb für das Bundesgericht verbindlich. Ebenso wenig verletzt die darauf gestützte Schlussfolgerung des kantonalen Gerichts Bundesrecht, wonach die nicht Ausdruck verschlimmerter gesundheitlicher Verhältnisse bildende abweichende Beurteilung der Psychiatrie B.________ neuanmeldungsrechtlich unbeachtlich bleibt (vgl. BGE 115 V 308 E. 4a/bb S. 313). Ist nach dem Gesagten für den Zeitraum bis zur wiederum ablehnenden Verfügung vom 2. September 2015 eine anspruchserhebliche Änderung des Sachverhalts zu verneinen, bleibt es beim bisherigen Rechtszustand.</w:t>
      </w:r>
    </w:p>
    <w:p>
      <w:r>
        <w:rPr>
          <w:b/>
        </w:rPr>
        <w:t>E. 4</w:t>
      </w:r>
    </w:p>
    <w:p>
      <w:r>
        <w:t>Die im Sinne von Art. 109 Abs. 2 lit. a BGG offensichtlich unbegründete Beschwerde ist im vereinfachten Verfahren abzuweisen.</w:t>
      </w:r>
    </w:p>
    <w:p>
      <w:r>
        <w:rPr>
          <w:b/>
        </w:rPr>
        <w:t>E. 5</w:t>
      </w:r>
    </w:p>
    <w:p>
      <w:r>
        <w:t>Umständehalber wird auf die Erhebung von Gerichtskosten verzichtet (Art. 66 Abs. 1 zweiter Satz BGG). Das Gesuch des Beschwerdeführers um unentgeltliche Rechtspflege im Sinne der Befreiung von den Gerichtskosten ist damit gegenstandslos. Bei einer Beschwerde, die von vornherein als aussichtslos bezeichnet werden muss, scheidet die unentgeltliche Verbeiständung aus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