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129/2008 vom 7. August 2008</w:t>
      </w:r>
    </w:p>
    <w:p>
      <w:r>
        <w:t>Bundesgericht, 2008-08-07, DE</w:t>
      </w:r>
    </w:p>
    <w:p>
      <w:r>
        <w:rPr>
          <w:b/>
        </w:rPr>
        <w:t xml:space="preserve">Quelle: </w:t>
      </w:r>
      <w:r>
        <w:t>https://mcp.opencaselaw.ch/entscheid/bger_9C_129_2008</w:t>
      </w:r>
    </w:p>
    <w:p>
      <w:r>
        <w:t>FR: TF 9C 129/2008 du 7 août 2008</w:t>
      </w:r>
    </w:p>
    <w:p>
      <w:r>
        <w:t>IT: TF 9C 129/2008 del 7 agosto 2008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Das Sozialversicherungsgericht hat die Bestimmungen über den Umfang des Rentenanspruchs ( Art. 28 Abs. 1 IVG ), die Bemessung des Invaliditätsgrades bei Erwerbstätigen nach der Einkommensvergleichsmethode (zum Prozentvergleich siehe BGE 114 V 310 E. 3a S. 313) und bei teilerwerbstätigen Versicherten nach der gemischten Methode ( Art. 28 Abs. 2ter IVG ; Art. 16 ATSG ) zutreffend wiedergegeben. Darauf kann verwiesen werden.</w:t>
      </w:r>
    </w:p>
    <w:p>
      <w:r>
        <w:rPr>
          <w:b/>
        </w:rPr>
        <w:t>E. 3.1</w:t>
      </w:r>
    </w:p>
    <w:p>
      <w:r>
        <w:t>Die Vorinstanz bemass den Invaliditätsgrad nach der gemischten Methode mit Anteilen von 80 % Erwerbstätigkeit und 20 % Haushalt. Ausgehend von der festgestellten und im Übrigen unbestrittenen Arbeitsunfähigkeit in der Tätigkeit als medizinische Praxisassistentin von 50 % nahm das Sozialversicherungsgericht bezogen auf den Anteil von 80 % Erwerbstätigkeit, den die Versicherte ohne Behinderung ausüben würde, aufgrund eines Prozentvergleichs eine Erwerbseinbusse von 37,5 % an, entsprechend einem gewichteten Teilinvaliditätsgrad von 30 %. Im Weiteren davon ausgehend, die Beschwerdeführerin wäre ohne Gesundheitsschaden zu 20 % im Aufgabenbereich Haushalt tätig, verzichtete die Vorinstanz auf die Anordnung einer neuerlichen Haushaltabklärung. Sie führte aus, dass die Versicherte als Hausfrau zu mindestens 50 % eingeschränkt sein müsste, damit gesamthaft ein anspruchsbegründender Invaliditätsgrad von 40 % resultieren würde, was gestützt auf die gesamten Unterlagen auszuschliessen sei.</w:t>
      </w:r>
    </w:p>
    <w:p>
      <w:r>
        <w:rPr>
          <w:b/>
        </w:rPr>
        <w:t>E. 3.2</w:t>
      </w:r>
    </w:p>
    <w:p>
      <w:r>
        <w:t>Die Beschwerdeführerin wendet ein, die Vorinstanz habe zu Unrecht einen Prozentvergleich statt einen Einkommensvergleich durchgeführt. Bei einem Einkommensvergleich würde sich ein wesentlich höherer Invaliditätsgrad ergeben. Ebenso müsste ein leidensbedingter Abzug vorgenommen werden. Sodann habe die Verwaltung es unterlassen, einen neuen Abklärungsbericht Haushalt in Auftrag zu geben, damit die Beeinträchtigung bei der Hausarbeit neu ermittelt werden könne, nachdem letztmals im Jahr 2002 eine Haushaltabklärung durchgeführt wurde.</w:t>
      </w:r>
    </w:p>
    <w:p>
      <w:r>
        <w:rPr>
          <w:b/>
        </w:rPr>
        <w:t>E. 3.3.1</w:t>
      </w:r>
    </w:p>
    <w:p>
      <w:r>
        <w:t>Die Vorbringen der Beschwerdeführerin sind unbegründet. Weder vermag sie darzutun, inwiefern die Vorinstanz den rechtserheblichen Sachverhalt offensichtlich unrichtig festgestellt hat, noch basiert der angefochtene Entscheid auf einer Bundesrechtsverletzung. Dass das kantonale Gericht unter den gegebenen Umständen die Einschränkung der Versicherten im erwerblichen Bereich aufgrund eines Prozentvergleichs ermittelt und auf 37,5 % (50 % Einsatzfähigkeit in einem hypothetischen Pensum von 80 %) festgelegt hat, lässt sich nicht beanstanden, ist doch für beide hypothetischen Einkommen (mit und ohne Invalidität) der Lohn massgebend, den die Beschwerdeführerin in einem Teilzeitpensum als medizinische Praxisassistentin erzielen könnte, sodass sich die Erwerbseinbusse anhand der in Prozenten angegebenen Arbeitsunfähigkeit festlegen lässt. Soweit die Versicherte vorträgt, sie erleide wegen der Teilarbeitsunfähigkeit einen Lohnnachteil, handelt es sich um eine unzulässige Kritik an den tatsächlichen Feststellungen der Vorinstanz. Davon abgesehen ist der lohnmässige Nachteil in der attestierten hälftigen Arbeitsunfähigkeit enthalten. Ein sogenannter leidensbedingter Abzug von gesamthaft höchstens 25 % ist sodann nur vorzunehmen, wenn das Invalideneinkommen anhand von Tabellenlöhnen festgelegt wird ( BGE 126 V 75 E. 5b S. 79). Der angefochtene Entscheid lässt sich auch in diesem Punkt nicht beanstanden.</w:t>
      </w:r>
    </w:p>
    <w:p>
      <w:r>
        <w:rPr>
          <w:b/>
        </w:rPr>
        <w:t>E. 3.3.2</w:t>
      </w:r>
    </w:p>
    <w:p>
      <w:r>
        <w:t>Soweit die Beschwerdeführerin schliesslich vorbringt, die Vorinstanz hätte eine neue Haushaltabklärung veranlassen müssen, hat sie sich entgegenhalten zu lassen, dass das kantonale Gericht für den häuslichen Aufgabenbereich eine Beweiswürdigung vorgenommen hat, welche vor Bundesgericht nur gerügt werden könnte, wenn von einer offensichtlich unrichtigen oder auf einer Bundesrechtsverletzung beruhenden Tatsachenfeststellung auszugehen wäre. Eine solche liegt nicht vor. Insbesondere hat das Sozialversicherungsgericht den Untersuchungsgrundsatz nicht verletzt, indem es auf die Anordnung einer Haushaltabklärung verzichtet hat. Da eine Abklärung aus dem Jahre 2002 vorlag und in gesundheitlicher Hinsicht keine Änderung eingetreten war, hatte die Vorinstanz lediglich zu berücksichtigen, dass zwischenzeitlich der Lebenspartner aus der gemeinsamen Wohnung ausgezogen war und die 2001 geborene Tochter zum Zeitpunkt des Einspracheentscheides bereits fünfjährig war und nicht mehr der gleichen intensiven Pflege und Betreuung bedurfte wie im Zeitpunkt der Haushaltabklärung. Das kantonale Gericht hat diesen beiden Gesichtspunkten im Rahmen der allgemeinen Lebenerfahrung korrekt Rechnung getragen und im Ergebnis zu Recht festgehalten, im Haushaltbereich resultiere keine mindestens hälftige Behinderung, was bei einer gewichteten Einschränkung von 30 % im erwerblichen Aufgabenbereich jedoch vorausgesetzt wäre, damit sich ein Gesamtinvaliditätsgrad von 40 % ergäbe, womit ein Anspruch auf eine Viertelsrente begründet wäre.</w:t>
      </w:r>
    </w:p>
    <w:p>
      <w:r>
        <w:rPr>
          <w:b/>
        </w:rPr>
        <w:t>E. 4</w:t>
      </w:r>
    </w:p>
    <w:p>
      <w:r>
        <w:t>Dem Verfahrensausgang entsprechend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