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9C_128/2018 vom 17. Juli 2018</w:t>
      </w:r>
    </w:p>
    <w:p>
      <w:r>
        <w:t>Bundesgericht, 2018-07-17, DE</w:t>
      </w:r>
    </w:p>
    <w:p>
      <w:r>
        <w:rPr>
          <w:b/>
        </w:rPr>
        <w:t xml:space="preserve">Quelle: </w:t>
      </w:r>
      <w:r>
        <w:t>https://mcp.opencaselaw.ch/entscheid/bger_9C_128_2018</w:t>
      </w:r>
    </w:p>
    <w:p>
      <w:r>
        <w:t>FR: TF 9C_128/2018 du 17 juillet 2018</w:t>
      </w:r>
    </w:p>
    <w:p>
      <w:r>
        <w:t>IT: TF 9C_128/2018 del 17 luglio 2018</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Die Rüge und ihre qualifizierte Begründung müssen in der Beschwerdeschrift selber enthalten sein. Der blosse Verweis auf Ausführungen in anderen Rechtsschriften oder auf die Akten genügt nicht (Urteil 9C_779/2010 vom 30. September 2011 E. 1.1.2 mit Hinweisen, nicht publ. in: BGE 137 V 446 , aber in: SVR 2012 BVG Nr. 11 S. 44). Auf ungenügend begründete Rügen oder bloss allgemein gehaltene appellatorische Kritik am angefochtenen Entscheid geht das Bundesgericht nicht ein ( BGE 134 II 244 E. 2.2 S. 246).</w:t>
      </w:r>
    </w:p>
    <w:p>
      <w:r>
        <w:rPr>
          <w:b/>
        </w:rPr>
        <w:t>E. 2.1</w:t>
      </w:r>
    </w:p>
    <w:p>
      <w:r>
        <w:t>Die Gutachter des Zentrums D.________ stellten fest, die Versicherte habe sich bei der EFL nicht konsistent verhalten und sich selbst limitiert, weshalb die Evaluation keine objektiv-funktionellen Resultate ergeben habe. Aus diesem Grund sei die Arbeitsfähigkeit abschliessend medizinisch-theoretisch zu beurteilen. In einer sehr leichten, wechselbelastenden Tätigkeit (Sitzen während der Hälfte bis zwei Drittel der Arbeitszeit) ohne hochrepetitive Hand- und Fingerbelastungen sei die Beschwerdeführerin für die Dauer/Präsenz von fünf Stunden pro Tag arbeitsfähig. Die Vorinstanz erachtete diese zeitliche Einschränkung als nicht nachvollziehbar. Demgegenüber hält die Beschwerdeführerin diese gutachterliche Beurteilung für massgebend; sie leitet daraus den Anspruch auf eine halbe Invalidenrente ab.</w:t>
      </w:r>
    </w:p>
    <w:p>
      <w:r>
        <w:rPr>
          <w:b/>
        </w:rPr>
        <w:t>E. 2.2</w:t>
      </w:r>
    </w:p>
    <w:p>
      <w:r>
        <w:t>Die Arbeitsunfähigkeit stellt einen unbestimmten Rechtsbegriff des formellen Gesetzes ( Art. 6 ATSG ) dar. Die medizinische Beurteilung stellt keinen abschliessenden Entscheid über die Folgen der erhobenen gesundheitlichen Beeinträchtigungen dar. Vielmehr ist sie durch die rechtsanwendenden Behörden im Rahmen der rechtlichen Vorgaben zu würdigen ( BGE 140 V 193 E. 3.1 und 3.2 S. 194 ff.). Weil die gesetzliche Definition der Arbeitsfähigkeit somit keine rein medizinische ist, können sich Konstellationen ergeben, bei welchen von der im medizinischen Gutachten festgestellten Arbeitsunfähigkeit abzuweichen ist, ohne dass dieses seinen Beweiswert verliert (SVR 2013 IV Nr. 9 S. 21, 8C_842/2011 E. 4.2.2; vgl. auch BGE 130 V 352 E. 3 S. 356 sowie Urteil 9C_651/2014 vom 23. Dezember 2014 E. 5.1).</w:t>
      </w:r>
    </w:p>
    <w:p>
      <w:r>
        <w:rPr>
          <w:b/>
        </w:rPr>
        <w:t>E. 2.3</w:t>
      </w:r>
    </w:p>
    <w:p>
      <w:r>
        <w:t>Die Beschwerdeführerin trifft eine Mitwirkungspflicht bei den ärztlichen und fachlichen Untersuchungen ( Art. 43 Abs. 2 ATSG ). Indem die Beschwerdeführerin bei der EFL keine zuverlässige Leistungsbereitschaft zeigte, sich selbst limitierte und sich zum Teil nicht einmal entsprechend einer Minimalperformance belasten liess, hat sie letztlich die Abklärung ihrer Leistungsfähigkeit mittels EFL verunmöglicht. Im Rahmen der psychiatrischen Begutachtung wurden keine Gründe festgestellt, welche die Selbstlimitierung und die unzuverlässige Leistungsbereitschaft erklären würden. Vielmehr gab der psychiatrische Gutachter Dr. med. E.________, Psychiatrie und Psychotherapie FMH, an, aus psychiatrischer Sicht bestehe keine Arbeitsunfähigkeit. Er stellte insbesondere fest, dass das fehlende Bearbeitungstempo, die fehlende Konzentrations- und Sorgfaltsleistung bei gleichzeitig objektiv unauffälligen psychiatrischen Befunden in sehr grossem Widerspruch zu den objektiven Untersuchungsbefunden und dem geschilderten Aktivitätsniveau einschliesslich Fahrtauglichkeit ständen und damit nicht auf eine psychiatrische Krankheit nach ICD-10 zurückzuführen seien. Nach seiner Einschätzung gibt es demnach keine medizinisch erklärbaren Gründe für die fehlende Leistungsbereitschaft und die Inkonsistenzen bei der EFL. Daraus muss geschlossen werden, dass die Beschwerdeführerin sich willentlich selber limitierte, dadurch eine aussagekräftige EFL verhinderte und damit die ihr obliegende Mitwirkungspflicht verletzte.</w:t>
      </w:r>
    </w:p>
    <w:p>
      <w:r>
        <w:rPr>
          <w:b/>
        </w:rPr>
        <w:t>E. 2.4</w:t>
      </w:r>
    </w:p>
    <w:p>
      <w:r>
        <w:t>Die Beschwerdeführerin beruft sich für die Massgeblichkeit der medizinisch-theoretischen Festlegung der Arbeitsfähigkeit auf das Urteil 9C_840/2009 vom 2. Dezember 2009 E. 5.1. Aus diesem Entscheid lässt sich jedoch nicht ableiten, dass die Festlegung der medizinisch-theoretischen Arbeitsfähigkeit durch die Gutachter für das Gericht in jedem Fall bindend und keiner Überprüfung zugänglich ist. Es wurde dort lediglich festgehalten, dass ein auf die medizinisch-theoretische Beurteilung abstellender Entscheid nicht bundesrechtswidrig ist. Bei der medizinisch-theoretischen Festlegung der Arbeitsfähigkeit durch die Ärzte des Zentrums D.________ handelt es sich um eine gutachterliche Schätzung, welche erforderlich war, weil die Beschwerdeführerin eine genaue Ermittlung der Arbeitsfähigkeit durch ihr Verhalten verunmöglicht hatte. Es ist nicht einzusehen, weshalb gerade bei einer solchen Konstellation die gutachterlich angenommene Arbeitsfähigkeit verbindlich und keiner richterlichen Überprüfung zugänglich sein soll.</w:t>
      </w:r>
    </w:p>
    <w:p>
      <w:r>
        <w:rPr>
          <w:b/>
        </w:rPr>
        <w:t>E. 2.5</w:t>
      </w:r>
    </w:p>
    <w:p>
      <w:r>
        <w:t>Die Gutachter des Zentrums D.________ begründen (insbesondere in der somatischen Beurteilung) nicht nachvollziehbar, weshalb der Versicherten eine adaptierte Tätigkeit nur während fünf Stunden täglich zumutbar sein soll. Einer Schmerzkumulation bei ununterbrochener Belastung der Strukturen muss bei einer angepassten Tätigkeit - anders als bei der angestammten - gerade nicht entgegengewirkt werden, denn es handelt sich bei dieser um eine sehr leichte, wechselbelastende Tätigkeit, wo hochrepetitive Hand- und Fingerbelastungen nicht vorkommen dürfen. Die somatische Gutachterin Dr. med. F.________, FMH Physikalische Medizin und Rehabilitation, begründete auch in ihrer ergänzenden Stellungnahme vom 7. Juli 2016 die zeitliche Einschränkung bei einer adaptierten Tätigkeit nicht. Da die Gutachter des Zentrums D.________ selbst bei der Festlegung der Arbeitsfähigkeit in einer leichten Tätigkeit nicht aufführten, dass einer Schmerzkumulation entgegengewirkt werden müsse, bestand für die Vorinstanz, entgegen den Vorbringen der Beschwerdeführerin, auch keine Veranlassung zu entsprechenden Rückfragen.</w:t>
      </w:r>
    </w:p>
    <w:p>
      <w:r>
        <w:rPr>
          <w:b/>
        </w:rPr>
        <w:t>E. 2.6</w:t>
      </w:r>
    </w:p>
    <w:p>
      <w:r>
        <w:t>Nachdem für die zeitliche Einschränkung bei einer körperlich angepassten Tätigkeit keine nachvollziehbare Erklärung im Rahmen der Festlegung der medizinisch-theoretischen Arbeitsfähigkeit vorliegt, war die Vorinstanz nicht nur berechtigt, sondern verpflichtet, diesbezüglich eine entsprechende eigene Beurteilung im Rahmen ihrer Beweiswürdigung vorzunehmen. Sie setzte sich dabei nachvollziehbar mit dem von der Beschwerdeführerin anlässlich der Begutachtung geschilderten Aktivitätsniveau auseinander und schloss daraus auf eine Arbeitsfähigkeit von 80 % in einer ihren Einschränkungen angepassten Tätigkeit. Eine solche Beweiswürdigung kann, anders als die Beschwerdeführerin dafürhält, nicht als willkürlich qualifiziert werden. Zudem verwies auch der psychiatrische Gutachter des Zentrums D.________, Dr. med. E.________, auf das Aktivitätsniveau (einschliesslich Fahrtauglichkeit), als er sich mit dem fehlenden Bearbeitungstempo und der fehlenden Konzentrations- und Sorgfaltsleistung der Beschwerdeführerin auseinandersetzte (psychiatrisches Gutachten vom 12. April 2016). Schon aus diesem Grund kann das Heranziehen des Aktivitätsniveaus nicht als sachfremdes Kriterium für die Ermittlung der Dauer, während welcher der Versicherten eine Tätigkeit zumutbar ist, betrachtet werden. Darüber hinaus ist festzustellen, dass die RAD-Ärztin med. pract. B.________ in ihrer Stellungnahme vom 14. November 2016 auf eine volle Arbeitsfähigkeit in einer angepassten Tätigkeit schloss und dies auch mit den Feststellungen, die sie bei der Untersuchung vom 20. März 2012 gemacht hatte, belegte. Die entsprechenden Untersuchungsergebnisse hat auch die somatische Gutachterin des Zentrums D.________, Dr. med. F.________, nicht in Frage gestellt. Sie kritisierte lediglich, der RAD habe keine ausführliche Arbeitsanamnese erhoben. Demgegenüber hielt Dr. med. F.________ sogar eine bessere Wirbelsäulenbeweglichkeit, keinen positiven Lasègue (also keine radikuläre Problematik mehr) und eine deutlich bessere Schulterbeweglichkeit beidseits gegenüber dem Zeitpunkt der RAD-Beurteilung fest (ergänzende Stellungnahme vom 7. Juli 2016). Für die Ermittlung der Arbeitsfähigkeit in einer den Einschränkungen angepassten Tätigkeit ist jedoch die Arbeitsanamnese, die sich primär auf die angestammte Tätigkeit bezieht, nicht weiter relevant. Auch wenn die Erkenntnisse der RAD-Ärztin med. pract. B.________ beigezogen werden, wonach die Arbeitsfähigkeit in einer angepassten Tätigkeit 100 % und nicht bloss 80 % beträgt, ist die Festlegung des zeitlichen Ausmasses einer solchen Tätigkeit im angefochtenen Entscheid als willkürfrei zu betrachten.</w:t>
      </w:r>
    </w:p>
    <w:p>
      <w:r>
        <w:rPr>
          <w:b/>
        </w:rPr>
        <w:t>E. 3</w:t>
      </w:r>
    </w:p>
    <w:p>
      <w:r>
        <w:t>Zusammenfassend ergibt sich, dass die vorinstanzliche Festlegung der Arbeitsfähigkeit in einer leidensangepassten Tätigkeit weder offensichtlich unrichtig ist noch auf einer Rechtsverletzung beruht. Die Beschwerdeführerin stellt die beiden Vergleichseinkommen im Übrigen (d.h. abgesehen vom Arbeitspensum in einer adaptierten Tätigkeit, welches das Invalideneinkommen betrifft) nicht in Frage. Ein rentenbegründender Invaliditätsgrad ist damit zu verneinen. Dies führt zur Abweisung der Beschwerde.</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