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128/2017 vom 12. April 2017</w:t>
      </w:r>
    </w:p>
    <w:p>
      <w:r>
        <w:t>Bundesgericht, 2017-04-12, DE</w:t>
      </w:r>
    </w:p>
    <w:p>
      <w:r>
        <w:rPr>
          <w:b/>
        </w:rPr>
        <w:t xml:space="preserve">Quelle: </w:t>
      </w:r>
      <w:r>
        <w:t>https://mcp.opencaselaw.ch/entscheid/bger_9C_128_2017</w:t>
      </w:r>
    </w:p>
    <w:p>
      <w:r>
        <w:t>FR: TF 9C 128/2017 du 12 avril 2017</w:t>
      </w:r>
    </w:p>
    <w:p>
      <w:r>
        <w:t>IT: TF 9C 128/2017 del 12 aprile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im angefochtenen Entscheid die zur revisionsrechtlichen Beurteilung ( Art. 17 Abs. 1 ATSG ) nach der Rechtsprechung geltenden Grundsätze zutreffend dargelegt, worauf verwiesen wird ( Art. 109 Abs. 3 Satz 2 BGG ).</w:t>
      </w:r>
    </w:p>
    <w:p>
      <w:r>
        <w:rPr>
          <w:b/>
        </w:rPr>
        <w:t>E. 3</w:t>
      </w:r>
    </w:p>
    <w:p>
      <w:r>
        <w:t>Hingegen kann der Vorinstanz in der fallgebundenen Beurteilung nach dem Vorliegen oder Fehlen rechtserheblicher Tatsachenänderungen nicht zugestimmt werden. Denn ihre abschliessende Beweiswürdigung verletzt insofern Bundesrecht ( Art. 95 lit. a BGG ), als, wie in der Beschwerde zu Recht geltend gemacht wird, die nach Eingang des MEDAS-Gutachtens vom 5. Januar 2015 beigebrachten medizinischen Unterlagen objektive, nicht rein ärztlicher subjektiver Würdigung entspringende Anhaltspunkte enthalten, die nach der Rechtsprechung (SVR 2008 IV Nr. 62 S. 203, 9C_830/2007 E. 4.3) eine ergänzende Beweisführung verlangen. Das trifft insbesondere auf den Bericht des Dr. med. B.________, FMH für Orthopädische Chirurgie, Spital C.________, vom 2. Dezember 2015 zu, welcher die Versicherte am 23. Oktober 2015 operiert hatte (Acromioplastik, Tenotomie und Tenodese der langen Bizepssehne; Operationsbericht vom 24. Oktober 2015), wozu die MEDAS-Gutachter nicht Stellung nehmen konnten. Der kantonale Gerichtsentscheid verletzt den Grundsatz, dass die Verhältnisse bis zum zeitlich massgebenden Moment des Verfügungserlasses ( BGE 132 V 215 E. 3.1.1 S. 220 mit Hinweis), hier am 30. März 2016, zuverlässig abgeklärt sein müssen, woran es hier eindeutig fehlt.</w:t>
      </w:r>
    </w:p>
    <w:p>
      <w:r>
        <w:rPr>
          <w:b/>
        </w:rPr>
        <w:t>E. 4</w:t>
      </w:r>
    </w:p>
    <w:p>
      <w:r>
        <w:t>Da die Beschwerde offensichtlich begründet ist, wird sie im Verfahren nach Art. 109 Abs. 2 lit. b BGG mit summarischer Begründung ( Art. 109 Abs. 3 Satz 1 BGG ) erledigt.</w:t>
      </w:r>
    </w:p>
    <w:p>
      <w:r>
        <w:rPr>
          <w:b/>
        </w:rPr>
        <w:t>E. 5</w:t>
      </w:r>
    </w:p>
    <w:p>
      <w:r>
        <w:t>Bei diesem Verfahrensausgang wird die Beschwerdegegnerin kostenpflichtig ( Art. 66 Abs. 1 BGG ); der Beschwerdeführerin schuldet sie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