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9C_128/2015 vom 4. September 2015</w:t>
      </w:r>
    </w:p>
    <w:p>
      <w:r>
        <w:t>Bundesgericht, 2015-09-04, FR</w:t>
      </w:r>
    </w:p>
    <w:p>
      <w:r>
        <w:rPr>
          <w:b/>
        </w:rPr>
        <w:t xml:space="preserve">Quelle: </w:t>
      </w:r>
      <w:r>
        <w:t>https://mcp.opencaselaw.ch/entscheid/bger_9C_128_2015</w:t>
      </w:r>
    </w:p>
    <w:p>
      <w:r>
        <w:t>FR: TF 9C_128/2015 du 4 septembre 2015</w:t>
      </w:r>
    </w:p>
    <w:p>
      <w:r>
        <w:t>IT: TF 9C_128/2015 del 4 settembre 2015</w:t>
      </w:r>
    </w:p>
    <w:p>
      <w:pPr>
        <w:pStyle w:val="Heading2"/>
      </w:pPr>
      <w:r>
        <w:t>Erwägungen</w:t>
      </w:r>
    </w:p>
    <w:p>
      <w:r>
        <w:rPr>
          <w:b/>
        </w:rPr>
        <w:t>E. 1</w:t>
      </w:r>
    </w:p>
    <w:p>
      <w:r>
        <w:t>Le recours en matière de droit public au Tribunal fédéral est une voie de réforme ( art. 107 al. 2 LTF ), non de cassation, de sorte que la partie recourante est tenue en principe de prendre des conclusions tendant à la modification sur le fond de l'acte attaqué ( ATF 137 II 313 consid. 1.3 p. 317 et les références). En l'occurrence, l'office recourant se limite à demander l'annulation du jugement attaqué, sans prendre de conclusions portant sur le sort de la cause. Il ressort toutefois, à la lecture du mémoire de recours, qu'il entend - du moins implicitement - obtenir la confirmation de la décision du 15 juin 2012. Ses conclusions sont dès lors recevables.</w:t>
      </w:r>
    </w:p>
    <w:p>
      <w:r>
        <w:rPr>
          <w:b/>
        </w:rPr>
        <w:t>E. 2</w:t>
      </w:r>
    </w:p>
    <w:p>
      <w:r>
        <w:t>En tant que son dispositif renvoie le dossier à l'administration pour nouvelle décision au sens des considérants, le jugement entrepris doit être qualifié de décision incidente qui ne peut être attaquée qu'aux conditions de l' art. 93 LTF . Dans le cas particulier, la juridiction cantonale a cependant constaté que la capacité de travail de l'intimé était nulle à compter du mois de mars 2011 et de 50 % dans une activité adaptée à compter du mois de mai 2014. Sur ces points, le jugement attaqué contient des constatations de fait impératives destinées à l'autorité inférieure qui ne lui laisse plus aucune latitude de jugement pour la suite de la procédure. En cela, l'office AI subit un préjudice irréparable au sens de l' art. 93 al. 1 let. a LTF , si bien qu'il y a lieu d'entrer en matière sur son recours ( ATF 133 V 477 consid. 5.2 p. 483).</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4.1</w:t>
      </w:r>
    </w:p>
    <w:p>
      <w:r>
        <w:t>Se fondant sur les conclusions de l'expertise judiciaire, la juridiction cantonale a constaté que l'état de santé psychique de l'intimé s'était aggravé depuis le mois de décembre 2005 (recte: septembre 2007) - date de la décision initiale - et que la capacité résiduelle de travail était désormais réduite à 50 % depuis le 1er mai 2014 dans une activité adaptée telle que décrite par le docteur D.________, étant précisé que la capacité de travail était jugée nulle dans toute activité depuis mars 2011.</w:t>
      </w:r>
    </w:p>
    <w:p>
      <w:r>
        <w:rPr>
          <w:b/>
        </w:rPr>
        <w:t>E. 4.2</w:t>
      </w:r>
    </w:p>
    <w:p>
      <w:r>
        <w:t>L'office recourant reproche à la juridiction cantonale d'avoir procédé à une constatation manifestement inexacte des faits pertinents consécutive à une mauvaise appréciation des preuves, en accordant pleine valeur probante à l'expertise judiciaire réalisée par le docteur D.________ et en écartant sans raison valable l'expertise du docteur C.________.</w:t>
      </w:r>
    </w:p>
    <w:p>
      <w:r>
        <w:rPr>
          <w:b/>
        </w:rPr>
        <w:t>E. 5.1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5.2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5.3</w:t>
      </w:r>
    </w:p>
    <w:p>
      <w:r>
        <w:t>L'office recourant considère que l'expertise judiciaire réalisée par le docteur D.________ n'analyserait pas de façon correcte la problématique relative à une éventuelle dépendance à l'alcool de l'intimé, en ce sens que l'expert se serait fondé exclusivement sur les déclarations de l'intimé, sans les corroborer par des arguments biologiques. Or, en effet, il convient de relever, s'agissant d'une expertise où des problématiques de dépendance - anciennes et actuelles - faisaient partie du tableau clinique, que l'expert s'est fondé exclusivement sur les déclarations de l'intimé pour poser son diagnostic, sans les mettre en perspective avec d'autres sources d'information (tests biologiques et témoignages de tierces personnes). Dans la mesure où il est notoirement admis que la négation fait partie intégrante de l'alcoolisme, il est important que la démarche diagnostique se fasse de manière rigoureuse, afin de pouvoir exclure que d'éventuels troubles psychiatriques ne soient pas secondaires à la consommation d'alcool (voir sur le sujet l'arrêt 9C_618/2014 du 9 janvier 2015 consid. 5 et les références). Si on ajoute à ce qui précède le fait que la doctoresse B.________ avait indiqué à l'expert que son patient était toujours dépendant à l'alcool (voir également le rapport des docteurs E.________ et F.________ du 25 janvier 2013), les critiques formulées par l'office recourant sont de nature à susciter le doute quant au bien-fondé de la méthodologie employée par l'expert dans le cas d'espèce et, partant, quant à la valeur probante de son expertise.</w:t>
      </w:r>
    </w:p>
    <w:p>
      <w:r>
        <w:rPr>
          <w:b/>
        </w:rPr>
        <w:t>E. 5.4</w:t>
      </w:r>
    </w:p>
    <w:p>
      <w:r>
        <w:t>Pour autant, on ne saurait suivre les conclusions de l'expertise établie par le docteur C.________. La juridiction cantonale a estimé que les témoignages recueillis au cours des audiences tenues devant la juridiction cantonale ainsi que les divergences diagnostiques entre l'expert et la doctoresse B.________ étaient suffisants pour jeter un doute quant au bien-fondé des conclusions prises par le docteur C.________. Les critiques formulées par l'office recourant à l'encontre de la motivation retenue dans l'ordonnance d'expertise, en tant qu'elles font grief à la juridiction cantonale de s'être fondée sur de simples hypothèses, ne suffisent pas à éliminer les divergences qui sont apparues entre les différents intervenants médicaux. Compte tenu des doutes existants, il n'y a pas lieu de remettre en cause l'opportunité de la décision de la juridiction cantonale de compléter l'instruction du dossier en requérant la mise en oeuvre d'une nouvelle expertise psychiatrique.</w:t>
      </w:r>
    </w:p>
    <w:p>
      <w:r>
        <w:rPr>
          <w:b/>
        </w:rPr>
        <w:t>E. 5.5</w:t>
      </w:r>
    </w:p>
    <w:p>
      <w:r>
        <w:t>Eu égard à l'ensemble de ces éléments, il y a lieu d'annuler le jugement entrepris et de renvoyer la cause à la juridiction cantonale pour qu'elle en complète l'instruction et rende une nouvelle décision.</w:t>
      </w:r>
    </w:p>
    <w:p>
      <w:r>
        <w:rPr>
          <w:b/>
        </w:rPr>
        <w:t>E. 6</w:t>
      </w:r>
    </w:p>
    <w:p>
      <w:r>
        <w:t>Vu les circonstances, il y a lieu de renoncer exceptionnellement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