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128/2008 vom 17. März 2008</w:t>
      </w:r>
    </w:p>
    <w:p>
      <w:r>
        <w:t>Bundesgericht, 2008-03-17, DE</w:t>
      </w:r>
    </w:p>
    <w:p>
      <w:r>
        <w:rPr>
          <w:b/>
        </w:rPr>
        <w:t xml:space="preserve">Quelle: </w:t>
      </w:r>
      <w:r>
        <w:t>https://mcp.opencaselaw.ch/entscheid/bger_9C_128_2008</w:t>
      </w:r>
    </w:p>
    <w:p>
      <w:r>
        <w:t>FR: TF 9C 128/2008 du 17 mars 2008</w:t>
      </w:r>
    </w:p>
    <w:p>
      <w:r>
        <w:t>IT: TF 9C 128/2008 del 17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Kantonales Gericht und IV-Stelle haben die gesetzlichen Bestimmungen und von der Rechtsprechung entwickelten Grundsätze, namentlich diejenigen über den Umfang des Rentenanspruchs ( Art. 28 Abs. 1 IVG sowohl in der bis 31. Dezember 2003 gültig gewesenen wie auch in der seit 1. Januar 2004 geltenden Fassung) und die Bemessung des Invaliditätsgrades bei erwerbstätigen Versicherten nach der allgemeinen Methode des Einkommensvergleichs (bis 31. Dezember 2002: Art. 28 altAbs. 2 IVG; vom 1. Januar bis 31. Dezember 2003: Art. 1 Abs. 1 IVG in Verbindung mit Art. 16 ATSG ; ab 1. Januar 2004: Art. 28 Abs. 2 IVG in Verbindung mit Art. 16 ATSG ; BGE 130 V 343 E. 3.4 S. 348, 128 V 29 E. 1 S. 30, 104 V 135 E. 2a und b S. 136), richtig dargelegt. Hierauf wird verwiesen.</w:t>
      </w:r>
    </w:p>
    <w:p>
      <w:r>
        <w:rPr>
          <w:b/>
        </w:rPr>
        <w:t>E. 3</w:t>
      </w:r>
    </w:p>
    <w:p>
      <w:r>
        <w:t>Des Weitern hat die Vorinstanz - wobei es die hievor (E. 1) angeführte Kognitionsregelung zu beachten gilt - gestützt auf das Gutachten des Neurologen Dr. M.________ vom 11. Mai 2004 zutreffend erkannt, dass die Beschwerdeführerin wegen der verbliebenen Unfallfolgen einer am 29. September 2001 erlittenen Distorsion der Halswirbelsäule (leicht bis mässig ausgeprägtes Zervikalsyndrom, leicht bis mässig ausgeprägte zervikozephale Beschwerden) ihre früher ausgeübte Tätigkeit als Putzfrau nicht mehr ausüben kann, hingegen einer leidensangepassten Erwerbstätigkeit (mit abwechselnd sitzend/stehender Körperhaltung, ohne Zwangshaltung des Kopfes und ohne Schultergürtelbelastung) weiterhin uneingeschränkt nachgehen könnte. Jedenfalls galt diese Feststellung noch für den hier massgebenden Zeitraum bis zum Erlass des streitigen Einspracheentscheids vom 29. Juni 2006. Mit einer solchen Verweisungstätigkeit würde die Versicherte klarerweise ein rentenausschliessendes Einkommen erzielen. Berufliche Massnahmen kommen schon deshalb nicht in Betracht, weil sich die Beschwerdeführerin subjektiv für weitgehend arbeitsunfähig hält. Sämtliche letztinstanzlich erhobenen Einwendungen vermögen an dieser Betrachtungsweise nichts zu ändern. Wenn sich die Beschwerdeführerin auf die Berichte der Klinik S.________ vom 12. Januar 2007 und des Psychiaters Dr. C.________ vom 23. September 2007 beruft, in denen erstmals eine mittelgradige depressive Episode mit somatischem Syndrom und eine anhaltende somatoforme Schmerzstörung diagnostiziert wurden, gilt es festzuhalten, dass sich diesen Stellungnahmen für den relevanten Zeitpunkt des Einspracheentscheides (29. Juni 2006) nichts Aussagekräftiges entnehmen lässt. Aufgrund des Umstandes, dass die Klinikärzte eine 100%ige Arbeitsunfähigkeit "für 2 Wochen ab 21.12.06" (Klinikaustritt) bescheinigten, kann jedenfalls nicht geschlossen werden, dass schon fünf Monate vor dem Klinikeintritt vom 29. November 2006 eine anhaltende Leistungsbeeinträchtigung bei adaptierten Erwerbstätigkeiten vorgelegen habe. Auch der später behandelnde Psychiater Dr. C.________ vermag zur Frage der seinerzeitigen Arbeitsfähigkeit nichts Entscheidendes beizutragen. Dieselben Überlegungen gelten mit Bezug auf die beantragte psychiatrische Begutachtung, weshalb Verwaltung und Vorinstanz auf entsprechende Weiterungen verzichten konnten, ohne dadurch den Untersuchungsgrundsatz zu verletzen.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