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9C_126/2018 vom 6. Juli 2018</w:t>
      </w:r>
    </w:p>
    <w:p>
      <w:r>
        <w:t>Bundesgericht, 2018-07-06, DE</w:t>
      </w:r>
    </w:p>
    <w:p>
      <w:r>
        <w:rPr>
          <w:b/>
        </w:rPr>
        <w:t xml:space="preserve">Quelle: </w:t>
      </w:r>
      <w:r>
        <w:t>https://mcp.opencaselaw.ch/entscheid/bger_9C_126_2018</w:t>
      </w:r>
    </w:p>
    <w:p>
      <w:r>
        <w:t>FR: TF 9C_126/2018 du 6 juillet 2018</w:t>
      </w:r>
    </w:p>
    <w:p>
      <w:r>
        <w:t>IT: TF 9C_126/2018 del 6 luglio 2018</w:t>
      </w:r>
    </w:p>
    <w:p>
      <w:pPr>
        <w:pStyle w:val="Heading2"/>
      </w:pPr>
      <w:r>
        <w:t>Erwägungen</w:t>
      </w:r>
    </w:p>
    <w:p>
      <w:r>
        <w:rPr>
          <w:b/>
        </w:rPr>
        <w:t>E. 1</w:t>
      </w:r>
    </w:p>
    <w:p>
      <w:r>
        <w:t>Streitig und zu prüfen ist der Anspruch der Beschwerdeführerin auf eine Rente der Invalidenversicherung. Vorweg stellt sich die Frage, ob dieser gestützt auf die vorhandene medizinische Aktenlage beantwortet werden kann.</w:t>
      </w:r>
    </w:p>
    <w:p>
      <w:r>
        <w:rPr>
          <w:b/>
        </w:rPr>
        <w:t>E. 2.1</w:t>
      </w:r>
    </w:p>
    <w:p>
      <w:r>
        <w:t>Die Vorinstanz erkannte, das psychiatrische Teilgutachten des Zentrums C.________ AG vom 27. Mai 2013 sei zwar ohne Kenntnis wichtiger Vorakten erstattet worden. Es bestehe jedoch kein Grund, die darin gemachten Feststellungen zu den rheumatologischen und psychischen klinischen Befunden im Zeitpunkt der Exploration in Frage zu stellen. Im Weiteren stützte sich das kantonale Gericht auf das polydisziplinäre Gutachten der Medexperts AG vom 27. Mai 2016, welchem sie Beweiswert zuerkannte. Die Experten diagnostizierten mit Einfluss auf die Arbeitsfähigkeit eine rezidivierende depressive Störung, aktuell mittelgradig mit somatischem Syndrom (ICD-10: F33.0), eine chronische Schmerzstörung mit psychischen und körperlichen Faktoren (ICD-10: F45.41), eine Benzodiazepinabhängigkeit bei ständigem Substanzgebrauch (ICD-10: F13.25), chronische rezidivierende zervikospondylogene und lumbospondylogene Schmerzen, eine Dekonditionierung bei chronischen generalisierten myofascialen Schmerzen sowie einen Ganzkörperschmerz. In einer leidensangepassten Tätigkeit bescheinigten die Gutachter der Versicherten eine Arbeitsfähigkeit von 50 %.</w:t>
      </w:r>
    </w:p>
    <w:p>
      <w:r>
        <w:rPr>
          <w:b/>
        </w:rPr>
        <w:t>E. 2.2.1</w:t>
      </w:r>
    </w:p>
    <w:p>
      <w:r>
        <w:t>Für die Beurteilung der Arbeitsfähigkeit bei psychischen Störungen (vgl. BGE 143 V 418 und 409) definiert das für somatoforme Leiden entwickelte strukturierte Beweisverfahren systematisierte Indikatoren, die - unter Berücksichtigung leistungshindernder äusserer Belastungsfaktoren einerseits und von Kompensationspotentialen (Ressourcen) anderseits - erlauben, das tatsächlich erreichbare Leistungsvermögen einzuschätzen ( BGE 141 V 281 E. 2 S. 285 ff., E. 3.4 bis 3.6 und 4.1 S. 291 ff.).</w:t>
      </w:r>
    </w:p>
    <w:p>
      <w:r>
        <w:rPr>
          <w:b/>
        </w:rPr>
        <w:t>E. 2.2.2</w:t>
      </w:r>
    </w:p>
    <w:p>
      <w:r>
        <w:t>Neben den durch den Rechtsanwender zu prüfenden allgemeinen beweisrechtlichen Vorgaben ( BGE 134 V 231 E. 5.1 S. 232; 125 V 351 E. 3a S. 352 mit Hinweis)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Eine rentenbegründende Invalidität ist nur dann anzunehmen, wenn funktionelle Auswirkungen medizinisch anhand der Indikatoren schlüssig und widerspruchsfrei festgestellt sind und somit den versicherungsmedizinischen Vorgaben Rechnung getragen wurde ( BGE 141 V 281 E. 6 S. 307 f.; Urteil 8C_260/2017 vom 1. Dezember 2017 E. 4.2.4).</w:t>
      </w:r>
    </w:p>
    <w:p>
      <w:r>
        <w:rPr>
          <w:b/>
        </w:rPr>
        <w:t>E. 2.3</w:t>
      </w:r>
    </w:p>
    <w:p>
      <w:r>
        <w:t>Med. pract. B.________, Facharzt Psychiatrie und Psychotherapie, diagnostizierte im psychiatrischen Teilgutachten der Medexperts AG vom 6. April 2016 unter anderem eine chronische Schmerzstörung mit psychischen und körperlichen Faktoren (ICD-10: F45.41) einzig mit dem Hinweis, die geklagten Beschwerden der Versicherten könnten weder physiologisch noch körperlich vollständig erklärt werden. Eine körperliche Ursache gebe es zwar, das Ausmass der Schmerzen sei aber nicht nachvollziehbar. Damit äusserte er sich hinsichtlich des Komplexes "Gesundheitsschädigung" nicht zur Ausprägung der Befunde und Symptome und begründete die Diagnose nicht weiter. Das Gutachten erweist sich ausserdem in Bezug auf psychosoziale und soziokulturelle Umstände und die Frage, ob davon psychiatrisch unterscheidbare Befunde vorliegen (vgl. Urteil 9C_648/2017 vom 20. November 2017 E. 2.3.1 mit Hinweisen), als nicht schlüssig. Der Experte berichtete, ein Teil der psychischen Symptome sei von psychosozialen Belastungen und emotionalen Konflikten sowie vom Benzodiazepinkonsum überlagert. Da bei der Beschwerdeführerin eine langjährige Symptomatik vorliege, gehe er nicht davon aus, dass sie einzig auf die psychosozialen Belastungen und emotionalen Konflikte zurückzuführen sei. Es müsse berücksichtigt werden, dass eine Dekonditionierung und viele invaliditätsfremde Faktoren eine Rolle spielten. Gleichzeitig hielt er sinngemäss fest, die diskutierten psychosozialen Faktoren (sehr belastender Ehekonflikt) würden nicht mehr bestehen, indem die Versicherte "in der Zwischenzeit ausgezogen sei" und "einen neuen Freund" habe. Aus dem Gutachten geht nicht hervor, ob nun eine verselbstständigte Störung mit Auswirkung auf die Arbeits- und Erwerbsfähigkeit vorliegt oder nicht und wie die vom Psychiater attestierte 50%ige Einschränkung der Arbeitsfähigkeit in einer leidensangepassten Tätigkeit begründet wird. Des Weiteren fehlen Angaben hinsichtlich der übrigen Indikatoren ( BGE 141 V 281 E. 4.3 S. 298 ff. und E. 4.4 S. 303 f.), welche ein Vorgehen im Sinne eines strukturierten Beweisverfahrens bei somatoformen Leiden für die Beurteilung der Arbeitsfähigkeit bei psychischen Störungen (vgl. BGE 143 V 418 ; 143 V 409 ) ermöglichen würden.</w:t>
      </w:r>
    </w:p>
    <w:p>
      <w:r>
        <w:rPr>
          <w:b/>
        </w:rPr>
        <w:t>E. 2.4</w:t>
      </w:r>
    </w:p>
    <w:p>
      <w:r>
        <w:t>Nichts anderes ergibt sich für die Expertise des Zentrums C.________ AG vom 2. September 2013. Gestützt darauf kann ebenfalls nicht beurteilt werden, wie es sich hinsichtlich der Indikatoren ( BGE 141 V 281 E. 4.3 S. 298 ff. und E. 4.4 S. 303 f.) verhält; zumal die Experten den Gesundheitszustand bei der Erstattung des Gutachtens im Jahr 2013 noch nicht unter Berücksichtigung von BGE 141 V 281 bewerten konnten (vgl. Urteil 8C_676/2017 vom 28. Februar 2018 E. 6.3).</w:t>
      </w:r>
    </w:p>
    <w:p>
      <w:r>
        <w:rPr>
          <w:b/>
        </w:rPr>
        <w:t>E. 2.5</w:t>
      </w:r>
    </w:p>
    <w:p>
      <w:r>
        <w:t>Es ist deshalb notwendig, ein neues Gutachten einzuholen, welches den Anforderungen von BGE 141 V 281 entspricht. Nach dem Gesagten ist der vorinstanzliche Entscheid aufzuheben und die Sache an die IV-Stelle zurückzuweisen (vgl. Art. 107 Abs. 2 BGG ), damit diese ein Gutachten im Sinne der Erwägungen einhole und hernach über den Leistungsanspruch befinde. Dabei wird sie die Rechtsprechungsänderung gemäss BGE 143 V 409 und 418 zu berücksichtigen haben.</w:t>
      </w:r>
    </w:p>
    <w:p>
      <w:r>
        <w:rPr>
          <w:b/>
        </w:rPr>
        <w:t>E. 3</w:t>
      </w:r>
    </w:p>
    <w:p>
      <w:r>
        <w:t>Die Rückweisung der Sache an die Verwaltung oder an die Vorinstanz zu weiteren Abklärung (mit noch offenem Ausgang) oder neuer Entscheidung gilt für die Frage der Auferlegung der Gerichtskosten als vollständiges Obsiegen im Sinne von Art. 66 Abs. 1 und Art. 68 Abs. 1 und 2 BGG , unabhängig davon, ob sie überhaupt beantragt oder ob das entsprechende Begehren im Haupt- oder Eventualantrag gestellt wird (vgl. BGE 137 V 210 E. 7.1 S. 271). Dementsprechend sind die Gerichtskosten der unterliegenden Beschwerdegegnerin aufzuerlegen ( Art. 66 Abs. 1 BGG ). Sie hat der Beschwerdeführerin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