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9C_125/2016 vom 11. März 2016</w:t>
      </w:r>
    </w:p>
    <w:p>
      <w:r>
        <w:t>Bundesgericht, 2016-03-11, DE</w:t>
      </w:r>
    </w:p>
    <w:p>
      <w:r>
        <w:rPr>
          <w:b/>
        </w:rPr>
        <w:t xml:space="preserve">Quelle: </w:t>
      </w:r>
      <w:r>
        <w:t>https://mcp.opencaselaw.ch/entscheid/bger_9C_125_2016</w:t>
      </w:r>
    </w:p>
    <w:p>
      <w:r>
        <w:t>FR: TF 9C_125/2016 du 11 mars 2016</w:t>
      </w:r>
    </w:p>
    <w:p>
      <w:r>
        <w:t>IT: TF 9C_125/2016 del 11 marzo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zu prüfen ist, ob Vorinstanz und Beschwerdegegnerin zu Recht eine Prämienrückerstattung für die Zeit des Wohnsitzes des Beschwerdeführers im Kanton Zürich vom 1. Januar 1996 bis 31. Juli 2003 abgelehnt haben.</w:t>
      </w:r>
    </w:p>
    <w:p>
      <w:r>
        <w:rPr>
          <w:b/>
        </w:rPr>
        <w:t>E. 2.1</w:t>
      </w:r>
    </w:p>
    <w:p>
      <w:r>
        <w:t>Gemäss Art. 106 KVG ("Prämienkorrektur durch einen Ausgleich unter den Versicherten") müssen Versicherte, die ihren Wohnsitz in einem Kanton haben, in dem die Kosten im Verhältnis zu den Prämien zwischen dem 1. Januar 1996 und dem 31. Dezember 2013 im Vergleich zu den Kosten im Verhältnis zu den Prämien in der Schweiz überdurchschnittlich waren (zu wenig bezahlte Prämien), einen Prämienzuschlag bezahlen. Der Prämienzuschlag ist für jede im betreffenden Kanton versicherte Person gleich hoch. Die Versicherer erheben den Prämienzuschlag (Abs. 1). Versicherte, die ihren Wohnsitz in einem Kanton haben, in dem die Kosten im Verhältnis zu den Prämien in der Schweiz unterdurchschnittlich waren (zu viel bezahlte Prämien), haben Anspruch auf einen Prämienabschlag. Der Prämienabschlag ist für jede im betreffenden Kanton versicherte Person gleich hoch. Die Versicherer gewähren den Prämienabschlag (Abs. 2). Geregelt werden sodann die Beitragserbringung zur Prämienkorrektur durch die Versicherer und den Bund ( Art. 106a KVG ), die Verteilung des Beitrags der Versicherer und des Bundes ( Art. 106b KVG ) sowie die Umsetzung der Prämienkorrektur im Einzelnen durch den Bundesrat ( Art. 106c KVG ). Art. 2 Abs. 1 der bundesrätlichen Verordnung vom 12. September 2014 über die Prämienkorrektur (SR 832.107.21) hält unter dem Titel "Grundsätze" fest, dass massgebend für den Prämienzuschlag nach Art. 106 Abs. 1 KVG , den Prämienabschlag nach Art. 106 Abs. 2 KVG und die Prämienrückerstattung nach Art. 106b Abs. 2 KVG der Versichertenbestand bei den Versicherern am          1. Januar des jeweiligen Jahres ist.</w:t>
      </w:r>
    </w:p>
    <w:p>
      <w:r>
        <w:rPr>
          <w:b/>
        </w:rPr>
        <w:t>E. 2.2</w:t>
      </w:r>
    </w:p>
    <w:p>
      <w:r>
        <w:t>Nach Art. 190 BV ("massgebendes Recht") sind Bundesgesetze und Völkerrecht für das Bundesgericht und die anderen rechtsanwendenden Behörden massgebend. Allerdings bezweckt die besagte Norm nicht ein Verbot der Prüfung der Verfassungsmässigkeit; vielmehr bringt sie das Gebot der Anwendung des Gesetzes zum Ausdruck. Das Bundesgericht muss mithin die in den Bundesgesetzen enthaltenen Bestimmungen anwenden, selbst wenn sie gegen Grundrechte verstossen sollten. Es muss sie indessen verfassungs- und EMRK-konform auslegen, soweit ein Auslegungsspielraum besteht ( BGE 139 I 180 E. 2.2 S. 185; 136 II 120 E. 3.5.1 S. 130 mit Hinweisen; Urteil 6B_896/2014 vom 16. Dezember 2015 E. 3 mit Hinweisen).</w:t>
      </w:r>
    </w:p>
    <w:p>
      <w:r>
        <w:rPr>
          <w:b/>
        </w:rPr>
        <w:t>E. 2.2.1</w:t>
      </w:r>
    </w:p>
    <w:p>
      <w:r>
        <w:t>Die Vorinstanz hat zum einen erkannt, dass der Wortlaut von Art. 106 Abs. 1 und 2 KVG (jeweils "ihren Wohnsitz in einem Kanton haben, in dem...") grundsätzlich klar ist. Die Bestimmung sowohl derjenigen Versicherten, die einen Prämienzuschlag zu bezahlen haben, wie auch derjenigen, welche einen Prämienabschlag beanspruchen können, richtet sich nach dem Wohnsitz im Zeitpunkt, in dem der Prämienzuschlag zu entrichten bzw. der Prämienabschlag zu gewähren ist. Dem opponiert der Beschwerdeführer zu Recht nicht. Ferner wurde in eingehender Darstellung der wesentlichen Materialien zu den genannten Normen erläutert, dass deren Wortlaut auch dem gesetzgeberischen Willen entspricht. Für die vorgesehenen Kompensationen der in den vergangenen Jahren in den einzelnen Kantonen zu viel oder zu wenig bezahlten Prämien sei, soweit es den auf die versicherten Personen entfallenden Drittel des gesamten Kompensationsbetrages betreffe, auf den gegenwärtigen Wohnsitz der versicherten Personen abzustellen. Insbesondere sei sich der Gesetzgeber dabei - so das kantonale Gericht im Weiteren - der Problematik der Gleich- bzw. Ungleichbehandlung der versicherten Personen durchaus bewusst gewesen. Eine Individualisierung der Kompensationen, wie sie dem Beschwerdeführer vorschwebe, wäre mit einem mutmasslichen sachlich-technischen und administrativen Aufwand verbunden gewesen, welcher die von den "Gebern" zu leistenden Abgeltungen überstiegen oder zumindest neutralisiert hätte. Ein Ausgleich sei daher begründeterweise und zu Recht auf Stufe Kanton und nicht individuell gesucht und geschaffen worden. Der Gesetzgeber sei sich somit im Klaren gewesen, dass die nur als politischer Kompromiss realisierbare Lösung im Widerspruch zum Grundsatz der Gleichbehandlung stehe, und habe eine solche bewusst in Kauf genommen. Ebenso wenig könne in Abrede gestellt werden, dass diesem "politischen Kompromiss" auch etwas Willkürliches anhafte. Mithin habe der Gesetzgeber die fraglichen Bestimmungen im vollen Wissen um deren Widerspruch zu verfassungsmässigen Grundsätzen erlassen.</w:t>
      </w:r>
    </w:p>
    <w:p>
      <w:r>
        <w:rPr>
          <w:b/>
        </w:rPr>
        <w:t>E. 2.2.2</w:t>
      </w:r>
    </w:p>
    <w:p>
      <w:r>
        <w:t>Der vom Beschwerdeführer wiederholt vorgetragenen Argumentation, der getroffenen gesetzlichen Regelung sei, da verfassungswidrig, nicht nachzuleben, kann angesichts der dargelegten Rechtslage auch letztinstanzlich nicht gefolgt werden. Wie im angefochtenen Entscheid in allen Teilen überzeugend aufgezeigt wurde, besteht bezüglich der Art. 106 ff. KVG kein Spielraum, der eine Anwendung der Bestimmungen im Sinne der in der Beschwerde vertretenen Sichtweise zuliesse. Vielmehr wurden die in den betreffenden Normen wiedergegebenen Massnahmen zur Prämienkorrektur im Gesetzgebungsverfahren einlässlich erörtert und ihnen in Kenntnis der daraus resultierenden Benachteiligungen zugestimmt. Der vom Versicherten geltend gemachte Anspruch auf Rückerstattung der im Kanton Zürich allenfalls zu viel entrichteten Krankenkassenprämien findet im Gesetz somit keine Stütze.</w:t>
      </w:r>
    </w:p>
    <w:p>
      <w:r>
        <w:rPr>
          <w:b/>
        </w:rPr>
        <w:t>E. 3.1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3.2</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