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123/2010 vom 3. Mai 2010</w:t>
      </w:r>
    </w:p>
    <w:p>
      <w:r>
        <w:t>Bundesgericht, 2010-05-03, DE</w:t>
      </w:r>
    </w:p>
    <w:p>
      <w:r>
        <w:rPr>
          <w:b/>
        </w:rPr>
        <w:t xml:space="preserve">Quelle: </w:t>
      </w:r>
      <w:r>
        <w:t>https://mcp.opencaselaw.ch/entscheid/bger_9C_123_2010</w:t>
      </w:r>
    </w:p>
    <w:p>
      <w:r>
        <w:t>FR: TF 9C 123/2010 du 3 mai 2010</w:t>
      </w:r>
    </w:p>
    <w:p>
      <w:r>
        <w:t>IT: TF 9C 123/2010 del 3 maggio 2010</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Neue Tatsachen und Beweismittel dürfen nur soweit vorgebracht werden, als erst der Entscheid der Vorinstanz dazu Anlass gibt ( Art. 99 Abs. 1 BGG ).</w:t>
      </w:r>
    </w:p>
    <w:p>
      <w:r>
        <w:rPr>
          <w:b/>
        </w:rPr>
        <w:t>E. 2.1</w:t>
      </w:r>
    </w:p>
    <w:p>
      <w:r>
        <w:t>Voraussetzung für den Anspruch auf eine ordentliche Überbrückungsrente gemäss Art. 14 GAV FAR ist, dass dieser in räumlicher (Art. 1), betrieblicher (Art. 2) und persönlicher (Art. 3) Hinsicht anwendbar ist, was in einem Streit um Leistungsansprüche durch das dafür zuständige Berufsvorsorgegericht vorfrageweise zu überprüfen ist (vgl. BGE 134 III 625 E. 3.1 S. 630; Urteil 9C_614/2009 vom 28. Januar 2010 E. 1; Urteil 9C_211/2008 vom 7. Mai 2008, in: SZS 2008 S. 487).</w:t>
      </w:r>
    </w:p>
    <w:p>
      <w:r>
        <w:rPr>
          <w:b/>
        </w:rPr>
        <w:t>E. 2.2</w:t>
      </w:r>
    </w:p>
    <w:p>
      <w:r>
        <w:t>Nach der allgemeinen Regel des Art. 8 ZGB , wonach derjenige das Vorhandensein einer Tatsache zu beweisen hat, der aus ihr Rechte ableiten will, liegt die Beweislast für den betrieblichen und persönlichen Geltungsbereich und somit die Anwendbarkeit des GAV FAR beim Beschwerdeführer.</w:t>
      </w:r>
    </w:p>
    <w:p>
      <w:r>
        <w:rPr>
          <w:b/>
        </w:rPr>
        <w:t>E. 3</w:t>
      </w:r>
    </w:p>
    <w:p>
      <w:r>
        <w:t>Es ist unbestritten, dass der ehemalige Arbeitgeber des Beschwerdeführers, die Einzelunternehmung X.________, nicht dem SBV angehört hat, weshalb der GAV FAR nicht vertraglich anwendbar ist. Ebenso ist zu Recht nicht mehr bestritten, dass der GAV FAR für die Betonbohr- und Betonschneideunternehmen, die Art. 2 Abs. 1 GAV FAR als eine besondere Kategorie neben den Hoch-, Tief-, Untertag- und Strassenbaufirmen bezeichnet, nicht als allgemeinverbindlich erklärt wurde (vgl. Art. 2 Abs. 1 lit. g GAV FAR und Art. 2 Abs. 4 lit. f des Bundesratsbeschlusses vom 5. Juni 2003 über die Allgemeinverbindlicherklärung des GAV FAR sowie den Entscheid des Bundesrates betreffend die Einsprache gemäss Art. 10 des Bundesgesetzes über die Allgemeinverbindlicherklärung von Gesamtarbeitsverträgen, mit welchem die Betonbohr- und Betonschneidbetriebe aus dem Geltungsbereich des Bundesratsbeschlusses ausgenommen worden sind). Somit ist einzig streitig, ob die Firma X.________ zur Kategorie der Betonbohr- und Betonschneideunternehmen gehörte oder eine von der Allgemeinverbindlicherklärung umfasste Baufirma war.</w:t>
      </w:r>
    </w:p>
    <w:p>
      <w:r>
        <w:rPr>
          <w:b/>
        </w:rPr>
        <w:t>E. 4.1</w:t>
      </w:r>
    </w:p>
    <w:p>
      <w:r>
        <w:t>Beim GAV FAR handelt es sich um einen Branchenvertrag, weshalb ihm diejenigen Arbeitnehmer unterstehen, die in einem bestimmten Wirtschaftszweig tätig sind (Urteil 4C.45/2002 vom 11. Juli 2002 E. 2.1.1). Die Frage, welchem Wirtschaftszweig ein Unternehmen zuzurechnen ist, beantwortet sich nach der Tätigkeit, die ihm das Gepräge gibt; entscheidend ist nicht der Handelsregistereintrag, sondern die tatsächliche Tätigkeit. Wenn ein Unternehmen mehrere Betriebe umfasst, welche unterschiedlichen Branchen angehören oder wenn innerhalb ein und desselben Betriebes mehrere Teile bestehen, welche eine unterschiedliche Zuordnung rechtfertigen, weil sie eine genügende, auch nach aussen erkennbare Selbständigkeit aufweisen, können auf die einzelnen Teile des Unternehmens resp. Betriebes unterschiedliche Gesamtarbeitsverträge zur Anwendung gelangen. Somit ist das massgebliche Zuordnungskriterium bei einem Branchenvertrag die Art der Tätigkeit, die den Betrieb oder den selbständigen Betreibsteil prägt ( BGE 134 III 11 E. 2.1 S. 13 mit weiteren Hinweisen; Urteil 9C_614/2009 E. 2).</w:t>
      </w:r>
    </w:p>
    <w:p>
      <w:r>
        <w:rPr>
          <w:b/>
        </w:rPr>
        <w:t>E. 4.2</w:t>
      </w:r>
    </w:p>
    <w:p>
      <w:r>
        <w:t>Die Vorinstanz hat festgehalten, mit überwiegender Wahrscheinlichkeit sei davon auszugehen, dass die Einzelunternehmung X.________ hauptsächlich in den Bereichen Betonbohren und Betonfräsen tätig war und somit gemäss Dispositiv Ziffer 2 des Bundesratsbeschlusses vom 5. Juni 2003 nicht unter die Allgemeinverbindlicherklärung des GAV FAR falle. Dies hat sie begründet mit dem Eintrag im Handelsregister des Kantons Zürich, wonach die Einzelunternehmung X.________ die "Ausführung von Bohr- und Fräsearbeiten" zum Zweck hatte, der Tatsache, dass die Schweizerische Unfallversicherungsanstalt (SUVA) die Firma als Betonbohr- und Betonfräsebetrieb einstufte sowie dem Hinweis auf das Briefpapier, mit welchem sich die Einzelunternehmung X.________ für "Betonbohren, Betonfräsen, Umbauten, Mauererarbeiten" empfahl. Unter Verweis auf den im Jahre 2003 über die Einzelunternehmung eröffneten Konkurs und das zwischenzeitliche Ableben von X.________ verzichtete die Vorinstanz auf weitere Abklärungen betreffend die den Betrieb prägende Tätigkeit.</w:t>
      </w:r>
    </w:p>
    <w:p>
      <w:r>
        <w:rPr>
          <w:b/>
        </w:rPr>
        <w:t>E. 4.3</w:t>
      </w:r>
    </w:p>
    <w:p>
      <w:r>
        <w:t>Nach der Rechtsprechung kann der Richter das Beweisverfahren schliessen, wenn er aufgrund bereits abgenommener Beweise seine Überzeugung gebildet hat und ohne Willkür in antizipierter Beweiswürdigung annehmen kann, dass seine Überzeugung durch weitere Beweiserhebungen nicht geändert würde ( BGE 124 I 208 E. 4a S. 211).</w:t>
      </w:r>
    </w:p>
    <w:p>
      <w:r>
        <w:rPr>
          <w:b/>
        </w:rPr>
        <w:t>E. 4.4</w:t>
      </w:r>
    </w:p>
    <w:p>
      <w:r>
        <w:t>Der Beschwerdeführer macht geltend, sein ehemaliger Arbeitgeber habe diverse Tätigkeiten des Bauhauptgewerbes ausgeführt. Weil er bereits in seiner vorinstanzlichen Klageschrift - unter Anerbietung mehrerer Zeugen als Beweis - auf die Dienstleistungsvielfalt der Einzelunternehmung X.________ hingewiesen hat, handelt es sich entgegen der Meinung der Beschwerdegegnerin dabei um kein Novum im Sinne von Art. 99 BGG (E. 1.2).</w:t>
      </w:r>
    </w:p>
    <w:p>
      <w:r>
        <w:rPr>
          <w:b/>
        </w:rPr>
        <w:t>E. 4.5</w:t>
      </w:r>
    </w:p>
    <w:p>
      <w:r>
        <w:t>Die Beschwerdegegnerin hat vorprozessual behauptet, Abklärungen hätten ergeben, dass die Einzelunternehmung X.________ nicht zum betrieblichen Geltungsbereich des GAV FAR zählte. Diese Abklärungen hat sie mit Verweis auf nicht weiter erklärte "datenschutzrechtliche Gründe" indes nicht belegt. Genauso wenig hat sie im vorinstanzlichen Verfahren diesbezügliche Abklärungsergebnisse vorgelegt.</w:t>
      </w:r>
    </w:p>
    <w:p>
      <w:r>
        <w:rPr>
          <w:b/>
        </w:rPr>
        <w:t>E. 4.6</w:t>
      </w:r>
    </w:p>
    <w:p>
      <w:r>
        <w:t>Die Zweckumschreibung im Handelsregister ist für sich allein rechtlich nicht ausschlaggebend (E. 4.1). Genauso wenig genügt das Briefpapier, das im Übrigen mit dem Hinweis auf "Betonbohren, Betonfräsen, Umbauten, Maurerarbeiten" den Tätigkeitsbereich der Einzelunternehmung X.________ nicht schlüssig umschreibt, zumal X.________ seine Firma beispielsweise im Arbeitszeugnis des Beschwerdeführers als "Bauunternehmung" betitelte und der Firmenstempel ebenfalls die Aufschrift "X.________ Bauunternehmung" trug. Betreffend die Einstufung der Einzelunternehmung als Betonbohr- und Betonfräsebetrieb durch die SUVA hat sich die Vorinstanz einzig auf die nicht belegten Angaben der Beschwerdegegnerin abgestützt. Die vom Beschwerdeführer angerufenen Zeugen, ein Vertreter eines Bauplanungs- und Architekturbüros, mit welchem die Einzelunternehmung X.________ zusammen gearbeitet hat, sowie der langjährige Mitarbeiter und Bruder des verstorbenen X.________, scheinen indes geeignet, sachdienlich Auskunft zu geben. Weiter hätte die Vorinstanz in Anwendung der Untersuchungsmaxime ( Art. 73 Abs. 2 BVG ) beim Verband der Betonbohr- und Betonschneidefirmen nachfragen können, ob die Einzelunternehmung X.________ dort Mitglied war.</w:t>
      </w:r>
    </w:p>
    <w:p>
      <w:r>
        <w:rPr>
          <w:b/>
        </w:rPr>
        <w:t>E. 4.7</w:t>
      </w:r>
    </w:p>
    <w:p>
      <w:r>
        <w:t>Nach dem Gesagten hat das kantonale Gericht in unzulässiger antizipierter Beweiswürdigung seine Untersuchungspflicht verletzt, weshalb es weitere Abklärungen betreffend die die Einzelunternehmung X.________ prägenden Tätigkeiten zu treffen hat.</w:t>
      </w:r>
    </w:p>
    <w:p>
      <w:r>
        <w:rPr>
          <w:b/>
        </w:rPr>
        <w:t>E. 5</w:t>
      </w:r>
    </w:p>
    <w:p>
      <w:r>
        <w:t>Das Verfahren ist kostenpflichtig (Art. 65 Abs. 1 und Abs. 3 lit. b BGG). Dem Prozessausgang gemäss gehen die Gerichtskosten zu Lasten der Beschwerdegegnerin ( Art. 66 Abs. 1 BGG ). Der Beschwerdeführer hat entsprechend dem Umfang der Beschwerde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