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9C_122/2020 vom 26. Februar 2021</w:t>
      </w:r>
    </w:p>
    <w:p>
      <w:r>
        <w:t>Bundesgericht, 2021-02-26, DE</w:t>
      </w:r>
    </w:p>
    <w:p>
      <w:r>
        <w:rPr>
          <w:b/>
        </w:rPr>
        <w:t xml:space="preserve">Quelle: </w:t>
      </w:r>
      <w:r>
        <w:t>https://mcp.opencaselaw.ch/entscheid/bger_9C_122_2020</w:t>
      </w:r>
    </w:p>
    <w:p>
      <w:r>
        <w:t>FR: TF 9C_122/2020 du 26 février 2021</w:t>
      </w:r>
    </w:p>
    <w:p>
      <w:r>
        <w:t>IT: TF 9C_122/2020 del 26 febbraio 2021</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Bei rückwirkender Zusprechung einer abgestuften und/oder befristeten Invalidenrente sind die für die Rentenrevision geltenden Bestimmungen analog anzuwenden ( BGE 133 V 263 E. 6.1 S. 263 mit Hinweisen). 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oder eine wesentliche Änderung hinsichtlich des für die Methodenwahl massgeblichen (hypothetischen) Sachverhalts eingetreten ist ( BGE 144 I 28 E. 2.2 S. 30 ; 144 I 21 E. 2.2 S. 24; BGE 130 V 343 E. 3.5 S. 349 f.). Liegt in diesem Sinne ein Revisionsgrund vor, ist der Rentenanspruch in rechtlicher und tatsächlicher Hinsicht allseitig zu prüfen ( BGE 117 V 198 E. 4b S. 200; Urteil 9C_226/2013 vom 4. September 2013 mit weiteren Hinweisen).</w:t>
      </w:r>
    </w:p>
    <w:p>
      <w:r>
        <w:rPr>
          <w:b/>
        </w:rPr>
        <w:t>E. 3.1</w:t>
      </w:r>
    </w:p>
    <w:p>
      <w:r>
        <w:t>Streitig und zu prüfen ist, ob die Vorinstanz zu Recht die Befristung der Dreiviertelsrente als bundesrechtswidrig beurteilte, da sie einen Statuswechsel aufgrund von Mutterschaft nicht als Revisionsgrund anerkannte. Unbestritten ist, dass sich der Gesundheitszustand der Versicherten seit der letzten Rentenrevision im Jahr 2011 nicht verändert hat, weshalb ein diesbezüglicher Revisionsgrund (vgl.       E. 2.1) ausscheidet.</w:t>
      </w:r>
    </w:p>
    <w:p>
      <w:r>
        <w:rPr>
          <w:b/>
        </w:rPr>
        <w:t>E. 3.2.1</w:t>
      </w:r>
    </w:p>
    <w:p>
      <w:r>
        <w:t>Die IV-Stelle begründete die Rentenrevision mit dem familiär bedingten Statuswechsel der Versicherten von einer Vollerwerbstätigkeit hin zu einer Teilerwerbstätigkeit von 20 % mit Aufgabenbereich. Dies hat zur Folge, dass die Invalidität nicht mehr - wie vor der Geburt der Tochter - anhand der auf Vollerwerbstätige anwendbaren Bemessungsmethode des Einkommensvergleichs (vgl. Art. 16 ATSG i.V.m. Art. 28a Abs. 1 IVG ), sondern nach der gemischten Methode ( Art. 28a Abs. 3 IVG ) festzulegen ist. Gestützt auf das auf den 1. Januar 2018 in Kraft getretene neue Berechnungsmodell für Teilerwerbstätige mit Aufgabenbereich (Art. 27bis Abs. 2 bis 4 IVV) ermittelte die IV-Stelle ab Januar 2018 einen rentenausschliessenden Invaliditätsgrad von 20 % (Teilinvaliditätsgrad von 17 % im Erwerb und von 3 % im Haushalt).</w:t>
      </w:r>
    </w:p>
    <w:p>
      <w:r>
        <w:rPr>
          <w:b/>
        </w:rPr>
        <w:t>E. 3.2.2</w:t>
      </w:r>
    </w:p>
    <w:p>
      <w:r>
        <w:t>Die Vorinstanz erachtete diese ausschliesslich mit dem Statuswechsel begründete Rentenaufhebung als unvereinbar mit dem Urteil des Europäischen Gerichtshofs für Menschenrechte (EGMR) in Sachen Di Trizio gegen die Schweiz (7186/09) vom 2. Februar 2016 (nachfolgend: Urteil Di Trizio) und der im Nachgang dazu ergangenen bundesgerichtlichen Rechtsprechung (vgl. insbes. BGE 143 I 50 und 60; vgl. auch BGE 144 I 21 E. 4.2 S. 26; 143 V 77 E. 3.2.2 S. 80). Das kantonale Gericht erwog, auch das von der IV-Stelle berücksichtigte neue Berechnungsmodell gemäss Art. 27bis IVV führe tendenziell zu einer Schlechterstellung der versicherten Person, wenn es - wie vorliegend - zu einem Wechsel der Bemessungsmethode komme. Die Vorinstanz gelangte infolgedessen zum Ergebnis, dass die Rente allein aufgrund der Mutterschaft nicht revidiert werden dürfe, weshalb die Versicherte ab 1. Januar 2015 Anspruch auf eine unbefristete Dreiviertelsrente habe.</w:t>
      </w:r>
    </w:p>
    <w:p>
      <w:r>
        <w:rPr>
          <w:b/>
        </w:rPr>
        <w:t>E. 3.3.1</w:t>
      </w:r>
    </w:p>
    <w:p>
      <w:r>
        <w:t>Das Bundesgericht hat mit dem zur Publikation vorgesehenen Urteil 9C_82/2020 vom 27. Oktober 2020 entschieden, dass mit dem neuen Berechnungsmodell des Art. 27bis IVV den Anforderungen des Urteils Di Trizio Genüge getan wird. Damit besteht kein Anlass mehr, einen Statuswechsel von der Voll- zur Teilerwerbstätigkeit nicht als Revisionsgrund anzuerkennen, auch wenn einzig die Geburt des Kindes dafür verantwortlich ist (a.a.O. E. 7; vgl. auch Urteil 8C_280/2020 vom 21. Dezember 2020 E. 5.3). Das Gericht qualifizierte die mit der Neufassung des Art. 27bis IVV verbleibenden Ungleichheiten als verhältnismässig und daher konventionskonform; daran ändert auch der Umstand nichts, dass der Statuswechsel hin zur gemischten Methode im Revisionsfall zur Aufhebung oder Herabsetzung der Invalidenrente und damit zu einem für die versicherte Person ungünstigen Resultat führen kann (Urteil 9C_82/2020 vom 27. Oktober 2020 E. 6.2).</w:t>
      </w:r>
    </w:p>
    <w:p>
      <w:r>
        <w:rPr>
          <w:b/>
        </w:rPr>
        <w:t>E. 3.3.2</w:t>
      </w:r>
    </w:p>
    <w:p>
      <w:r>
        <w:t>Mit Blick auf die soeben dargelegte - erst nach dem kantonalen Entscheid ergangene - Rechtsprechung kann der Vorinstanz nicht gefolgt werden, wenn sie einen Revisionsgrund (einzig) mit dem Hinweis auf das Urteil Di Trizio verneinte (vgl. E. 3.2.2). Demzufolge ist der angefochtene Entscheid aufzuheben und die Sache ist zu neuer Prüfung der am 29. August 2018 verfügten Rentenaufhebung an die Vorinstanz zurückzuweisen.</w:t>
      </w:r>
    </w:p>
    <w:p>
      <w:r>
        <w:rPr>
          <w:b/>
        </w:rPr>
        <w:t>E. 4</w:t>
      </w:r>
    </w:p>
    <w:p>
      <w:r>
        <w:t>Die Rückweisung der Sache mit noch offenem Ausgang gilt für die Frage der Auferlegung der Gesichtskosten wie auch der Parteientschädigung als vollständiges Obsiegen im Sinne von Art. 66 Abs. 1 Satz 1 sowie Art. 68 Abs. 1 und 2 BGG , unabhängig davon, ob sie beantragt und ob das entsprechende Begehren im Haupt- oder im Eventualantrag gestellt wird ( BGE 141 V 281 E. 11.1 S. 312; 137 V 210 E. 7.1 S. 271; 132 V 215 E. 6.1 S. 235). Dem Gesuch der Beschwerdegegnerin um unentgeltliche Rechtspflege (Prozessführung und Verbeiständung) kann entsprochen werde n, da die entsprechenden Voraussetzungen gegeben sind (vgl. Art. 64 Abs. 1 und 2 BGG ; BGE 125 V 201 E. 4a S. 202). Die Beschwerdegegnerin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