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9C_122/2017 vom 20. Dezember 2017</w:t>
      </w:r>
    </w:p>
    <w:p>
      <w:r>
        <w:t>Bundesgericht, 2017-12-20, FR</w:t>
      </w:r>
    </w:p>
    <w:p>
      <w:r>
        <w:rPr>
          <w:b/>
        </w:rPr>
        <w:t xml:space="preserve">Quelle: </w:t>
      </w:r>
      <w:r>
        <w:t>https://mcp.opencaselaw.ch/entscheid/bger_9C_122_2017</w:t>
      </w:r>
    </w:p>
    <w:p>
      <w:r>
        <w:t>FR: TF 9C_122/2017 du 20 décembre 2017</w:t>
      </w:r>
    </w:p>
    <w:p>
      <w:r>
        <w:t>IT: TF 9C_122/2017 del 20 dicembre 2017</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de A.________ à une rente d'invalidité de la prévoyance professionnelle dès le 1er septembre 2010, à charge de la caisse recourante.</w:t>
      </w:r>
    </w:p>
    <w:p>
      <w:r>
        <w:rPr>
          <w:b/>
        </w:rPr>
        <w:t>E. 2.2</w:t>
      </w:r>
    </w:p>
    <w:p>
      <w:r>
        <w:t>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275 consid. 4.1 p. 275 et les références). Il suffit d'y renvoyer.</w:t>
      </w:r>
    </w:p>
    <w:p>
      <w:r>
        <w:rPr>
          <w:b/>
        </w:rPr>
        <w:t>E. 2.3</w:t>
      </w:r>
    </w:p>
    <w:p>
      <w:r>
        <w:t>On ajoutera que, conformément à l' art. 26 al. 1 LPP , les dispositions de la loi fédérale sur l'assurance-invalidité ( art. 29 LAI )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138 V 409 consid. 3.1 p. 414; 126 V 308 consid. 1 p. 311). Cette force contraignante vaut non seulement pour la fixation du degré d'invalidité ( ATF 115 V 208 ), mais également pour la détermination du moment à partir duquel la capacité de travail de l'assuré s'est détériorée de manière sensible et durable ( ATF 129 V 150 consid. 2.5 p. 156; 123 V 269 consid. 2a p. 271).</w:t>
      </w:r>
    </w:p>
    <w:p>
      <w:r>
        <w:t>Dans l'arrêt B 45/03 du 13 juillet 2004 consid. 2.3.2, publié in SVR 2005 BVG n° 5 p. 16, le Tribunal fédéral a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(arrêt 9C_651/2015 du 11 février 2016 consid. 4.1).</w:t>
      </w:r>
    </w:p>
    <w:p>
      <w:r>
        <w:rPr>
          <w:b/>
        </w:rPr>
        <w:t>E. 3.1</w:t>
      </w:r>
    </w:p>
    <w:p>
      <w:r>
        <w:t>La juridiction cantonale a, en se fondant sur les conclusions de l'expertise du 4 juin 2013, constaté que l'incapacité de travail dont la cause est à l'origine de l'invalidité est survenue en février 2007, soit durant les rapports d'assurance de l'intimé avec AXA. Cette incapacité de travail, qui se traduisait selon les experts par une baisse de rendement de 20 % dans une activité adaptée, s'était par ailleurs maintenue sans interruption depuis lors.</w:t>
      </w:r>
    </w:p>
    <w:p>
      <w:r>
        <w:rPr>
          <w:b/>
        </w:rPr>
        <w:t>E. 3.2</w:t>
      </w:r>
    </w:p>
    <w:p>
      <w:r>
        <w:t>AXA ne remet pas en cause le lien matériel entre l'incapacité de travail survenue dès février 2007 et l'invalidité constatée par les organes de l'assurance-invalidité dès le 1er septembre 2010. Elle soutient que la juridiction cantonale a en revanche procédé à une constatation manifestement inexacte des faits pertinents consécutive à une mauvaise appréciation des preuves et violé l' art. 23 LPP en considérant que le lien de connexité temporelle n'avait pas été interrompu depuis février 2007. Elle affirme que l'intimé présentait tout d'abord, au moment de la décision de l'office AI du 19 août 2009, une pleine et entière capacité de travail, ce qui ressortait d'ailleurs de l'exposé des faits de la décision attaquée, sans qu'une quelconque diminution de rendement ne fût évoquée à l'époque. Elle relève ensuite que la période de chômage de 19 mois (du 1</w:t>
      </w:r>
    </w:p>
    <w:p>
      <w:r>
        <w:t>er novembre 2007 au 31 mai 2009) ou la reprise d'une activité professionnelle à 100 % pendant six mois (du 1</w:t>
      </w:r>
    </w:p>
    <w:p>
      <w:r>
        <w:t>er juin au 6 décembre 2009), respectivement le cumul de ces deux périodes, démontrait que l'intimé avait recouvert une capacité de travail propre à interrompre le lien de connexité temporel entre son incapacité de travail et son invalidité.</w:t>
      </w:r>
    </w:p>
    <w:p>
      <w:r>
        <w:rPr>
          <w:b/>
        </w:rPr>
        <w:t>E. 4.1</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l'argumentation de la recourante consiste, pour l'essentiel, à substituer sa propre appréciation de la situation à celle de l'autorité précédente, sans démontrer en quoi les premiers juges auraient arbitrairement omis des faits pertinents.</w:t>
      </w:r>
    </w:p>
    <w:p>
      <w:r>
        <w:t>Tel est singulièrement le cas lorsqu'elle s'écarte des constatations de fait retenues dans la décision attaquée et affirme que le dossier médical constitué en "temps réel" par les organes de l'assurance-invalidité ne faisait état d'aucune réserve quant à la capacité de travail de l'intimé dans une activité adaptée en 2009. Contrairement à ce que la recourante affirme en particulier, les premiers juges avaient déjà constaté dans le jugement du 8 juillet 2014 que le médecin du Service médical régional (SMR) de l'assurance-invalidité avait mis en évidence des limitations fonctionnelles et que c'étaient "précisément ces limitations qui justifiaient la diminution de rendement de 20 %" (jugement du 8 juillet 2014 consid. 17). On ne saurait dès lors suivre la recourante lorsqu'elle affirme que la décision attaquée est "à cent pour cent" opposée à la décision du 19 août 2009 ou qu'il manque "des preuves du temps réel" pour retenir une baisse de rendement dès février 2007.</w:t>
      </w:r>
    </w:p>
    <w:p>
      <w:r>
        <w:t>Au contraire, le point de savoir si les limitations fonctionnelles mises en évidence par le médecin du SMR (avis du 13 mars 2009) justifiaient une baisse de rendement de 20 % ou un abattement de 10 % sur le revenu d'invalide tiré des statistiques ne jouait aucun rôle dans le rejet de la demande de prestations de l'assurance-invalidité du 19 août 2009. Dans l'une ou l'autre hypothèse, le degré d'invalidité de l'intimé était en effet inférieur à 40 % ( art. 28 LAI ), étant rappelé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Dans cette mesure, les premiers juges étaient en droit d'examiner librement l'influence des limitations fonctionnelles constatées par le médecin du SMR sur la capacité de travail de l'intimé (consid. 2.3 supra), à l'aune des conclusions rétrospectives du Centre médical D._________, ce d'autant plus que le jugement du 8 juillet 2014 avait expressément laissé ouverte la question de savoir si l'intimé avait "subi une modification sensible de son état de santé" (jugement du 8 juillet 2014 consid. 14). Il n'y a dès lors pas lieu de s'écarter de l'appréciation des preuves opérée par la juridiction cantonale.</w:t>
      </w:r>
    </w:p>
    <w:p>
      <w:r>
        <w:rPr>
          <w:b/>
        </w:rPr>
        <w:t>E. 4.2</w:t>
      </w:r>
    </w:p>
    <w:p>
      <w:r>
        <w:t>En considérant que l'inscription de l'intimé à l'assurance-chômage comme personne à la recherche d'un emploi qui dispose d'une aptitude entière au placement n'avait pas interrompu le lien de connexité temporelle avec l'incapacité de travail survenue dès février 2007, les premiers juges n'ont pour le surplus pas violé le droit fédéral. Cette période d'indemnisation de l'assurance-chômage est en effet concomitante aux faits sur lesquels la juridiction cantonale s'est fondée, sans arbitraire (consid. 4.1 supra), pour retenir que la baisse de rendement de 20 % de l'intimé s'était maintenue sans interruption depuis février 2007. La rapidité avec laquelle le nouvel employeur a signalé l'intimé à l'assurance-invalidité pour une détection précoce renforce par ailleurs, quoi qu'en dise la recourante, l'appréciation selon laquelle l'état de santé de A.________ ne s'était nullement amendé depuis février 2007 et que celui-ci a tenté de se réinsérer dans un emploi qui n'était nullement adapté à son état de santé. L'office AI avait du reste d'emblée mis en garde l'intimé, considérant qu'une activité de plâtrier (plaquiste) n'était pas exigible de sa part. Il s'ensuit que la connexité temporelle entre l'incapacité de travail survenue alors que l'intimé était affilié à AXA et l'invalidité constatée par la décision ultérieure de l'office AI n'a pas été rompue, de telle sorte que la juridiction cantonale a constaté à bon droit l'obligation de prester de celle-ci.</w:t>
      </w:r>
    </w:p>
    <w:p>
      <w:r>
        <w:rPr>
          <w:b/>
        </w:rPr>
        <w:t>E. 5</w:t>
      </w:r>
    </w:p>
    <w:p>
      <w:r>
        <w:t>Mal fondé, le recours doit être rejeté. La recourante, qui succombe intégralement, supportera les frais judiciaires afférents à la présente procédure ( art. 66 al. 1 LTF ). L'assuré,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