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9C_122/2010 vom 4. Mai 2010</w:t>
      </w:r>
    </w:p>
    <w:p>
      <w:r>
        <w:t>Bundesgericht, 2010-05-04, DE</w:t>
      </w:r>
    </w:p>
    <w:p>
      <w:r>
        <w:rPr>
          <w:b/>
        </w:rPr>
        <w:t xml:space="preserve">Quelle: </w:t>
      </w:r>
      <w:r>
        <w:t>https://mcp.opencaselaw.ch/entscheid/bger_9C_122_2010</w:t>
      </w:r>
    </w:p>
    <w:p>
      <w:r>
        <w:t>FR: TF 9C_122/2010 du 4 mai 2010</w:t>
      </w:r>
    </w:p>
    <w:p>
      <w:r>
        <w:t>IT: TF 9C_122/2010 del 4 maggio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Verwaltungsgericht hat unter Hinweis auf Art. 17 Abs. 1 ATSG und die hiezu ergangene Rechtsprechung ( BGE 130 V 343 E. 3.5 S. 349; SVR 2009 IV Nr. 59 S. 183, 9C_17/2009) die Voraussetzungen, unter denen eine laufende Invalidenrente für die Zukunft zu erhöhen, herabzusetzen oder aufzuheben ist, zutreffend dargelegt. Darauf wird verwiesen.</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 BGE 125 V 369 E. 2 mit Hinweisen; vgl. auch BGE 112 V 373 E. 2c und 390 E. 1b).</w:t>
      </w:r>
    </w:p>
    <w:p>
      <w:r>
        <w:rPr>
          <w:b/>
        </w:rPr>
        <w:t>E. 3.1</w:t>
      </w:r>
    </w:p>
    <w:p>
      <w:r>
        <w:t>Die Vorinstanz stellte fest, die Verfügung der IV-Stelle vom 6. August 2004 sei zweifellos unrichtig gewesen. Die Verwaltung habe aus der ärztlicherseits attestierten Arbeitsunfähigkeit von 100 % in der angestammten Tätigkeit fälschlicherweise auf einen Invaliditätsgrad von ebenfalls 100 % geschlossen, ohne vorgängig die Leistungsfähigkeit des Beschwerdeführers in leidensangepassten Tätigkeiten geprüft zu haben. Damit sei die ursprüngliche Rentenverfügung zweifellos unrichtig, weshalb deren Wiedererwägung zulässig sei. Gestützt auf die Angaben der Gutachter des Begutachtungsinstituts Y.________ sei von einer Arbeitsunfähigkeit des Versicherten in einer seinem Gesundheitszustand entsprechenden Tätigkeit von 30 % auszugehen. Aufgrund eines Einkommensvergleichs resultiere ein Invaliditätsgrad von 42 %.</w:t>
      </w:r>
    </w:p>
    <w:p>
      <w:r>
        <w:rPr>
          <w:b/>
        </w:rPr>
        <w:t>E. 3.2</w:t>
      </w:r>
    </w:p>
    <w:p>
      <w:r>
        <w:t>Der Beschwerdeführer wendet sich gegen diese Betrachtungsweise. Er macht geltend, die Vorinstanz habe den Begriff der zweifellosen Unrichtigkeit falsch angewendet. Die ursprüngliche Verfügung sei nur dann zweifellos unrichtig gewesen, wenn der Versicherte in einer leidensangepassten Tätigkeit arbeitsfähig war; dies treffe nicht zu. Der damalige Sachverhalt sei unklar, so dass sich keine Aussage dazu machen lasse, ob die Rentenzusprechung zu Recht oder zu Unrecht erfolgte.</w:t>
      </w:r>
    </w:p>
    <w:p>
      <w:r>
        <w:rPr>
          <w:b/>
        </w:rPr>
        <w:t>E. 3.3</w:t>
      </w:r>
    </w:p>
    <w:p>
      <w:r>
        <w:t>Der Vorinstanz ist zuzustimmen, dass die ursprüngliche Rentenzusprache rechtsfehlerhaft war, weil die Arbeitsfähigkeit in einer angepassten Tätigkeit nicht geprüft wurde. Um eine rechtskräftig zugesprochene Rente wiedererwägungsweise aufheben zu können, muss aber zusätzlich mit dem Beweisgrad der überwiegenden Wahrscheinlichkeit erstellt sein, dass eine korrekte Invaliditätsbemessung hinsichtlich des Leistungsanspruchs zu einem anderen Ergebnis geführt hätte (Urteil des Eidg. Versicherungsgerichts I 434/03 vom 22. April 2004; Urteil 9C_575/2007 vom 18. Oktober 2007 E. 3.3).</w:t>
      </w:r>
    </w:p>
    <w:p>
      <w:r>
        <w:t>Im Lichte dieser Rechtsprechung ist dem Beschwerdeführer beizupflichten, dass die Wiedererwägungsvoraussetzungen mit Bezug auf die Verfügung vom 6. August 2004 nicht erfüllt waren: Dass die Arbeitsfähigkeit in einer angepassten Tätigkeit nicht geprüft wurde, erlaubt noch keinen Schluss darauf, ob und wie stark sie allenfalls eingeschränkt war. Auch wenn eine 100%ige Arbeitsunfähigkeit kaum nachvollziehbar erscheint, ist aufgrund der Akten doch eine ungewisse Einschränkung anzunehmen. Es steht damit nicht zweifelsfrei fest, dass der Invaliditätsgrad weniger als 70 % betrug.</w:t>
      </w:r>
    </w:p>
    <w:p>
      <w:r>
        <w:rPr>
          <w:b/>
        </w:rPr>
        <w:t>E. 4.1</w:t>
      </w:r>
    </w:p>
    <w:p>
      <w:r>
        <w:t>Des Weiteren hat die IV-Stelle in der Verfügung vom 30. September 2009 ausgeführt, dass nicht nur an der Wiedererwägung der ursprünglichen Verfügung vom 6. August 2004 festgehalten werde, sondern zudem ein Revisionsgrund gegeben sei, da sich der Gesundheitszustand verbessert hat. Diese Feststellung wurde jedoch nicht näher begründet. Insbesondere fehlen Hinweise auf die medizinischen Unterlagen, welchen eine solche Verbesserung entnommen werden könnte. Die Vorinstanz wiederum hat, nachdem sie die Wiedererwägung grundsätzlich als zulässig erachtet hatte, den Invaliditätsgrad des Beschwerdeführers im Zeitpunkt der neuen Verfügung (vom 30. September 2009) bemessen. Dabei hat sie die Revisionsvoraussetzungen im massgeblichen Zeitraum nicht geprüft, sondern sie ist wie bei einer erstmaligen Invaliditätsbemessung vorgegangen und hat in medizinischer Hinsicht auf die Angaben der Experten des Begutachtunsinstituts X.________ abgestellt. Die Frage, ob ein Revisionsgrund nach Art. 17 ATSG vorliege, hat das kantonale Gericht nicht abschliessend beantwortet, jedoch dafür gehalten, dass die bei den Akten befindlichen medizinischen Unterlagen eher gegen eine revisionserhebliche Verbesserung der gesundheitlichen Situation sprächen. Eine Änderung der tatsächlichen Verhältnisse, die geeignet ist, den Invaliditätsgrad zu beeinflussen, sei unwahrscheinlich.</w:t>
      </w:r>
    </w:p>
    <w:p>
      <w:r>
        <w:rPr>
          <w:b/>
        </w:rPr>
        <w:t>E. 4.2</w:t>
      </w:r>
    </w:p>
    <w:p>
      <w:r>
        <w:t>Mangels Auseinandersetzung mit den Revisionsvoraussetzungen im Sinne von Art. 17 ATSG in der Rentenherabsetzungsverfügung vom 30. September 2009 und im Fall der lediglich kursorischen Behandlung dieser Frage im vorinstanzlichen Entscheid vom 15. Januar 2010 kann sich das Bundesgericht nicht damit befassen. Die Rentenherabsetzung bildet zwar Anfechtungs- und Streitgegenstand ( BGE 125 V 413 E. 2a - c S. 415 ff.), wurde aber nicht unter revisionsrechtlichem Gesichtswinkel geprüft. Die Vorinstanz hat die Frage, ob ein Revisionsgrund vorliege, nicht abschliessend beantwortet, sondern nur erwogen, die bei den Akten liegenden Unterlagen sprächen prima vista gegen eine erhebliche Verbesserung des Gesundheitszustandes. Daher sah folgerichtig auch der Beschwerdeführer davon ab, die Revisionsvoraussetzungen anzufechten. Die Aktenlage und die vorinstanzlichen Feststellungen erlauben keine hinreichenden Aussagen zur Entwicklung des Gesundheitszustandes des Beschwerdeführers im massgeblichen Beurteilungszeitraum und ermöglichen keine hinreichend schlüssige Beantwortung der Frage nach der Zulässigkeit einer revisionsweisen Herabsetzung der Invalidenrente, weshalb es unumgänglich ist, dass eine mit voller Überprüfungsbefugnis ausgestattete Behörde die erforderlichen medizinischen und erwerblichen Abklärungen trifft und hernach entscheidet.</w:t>
      </w:r>
    </w:p>
    <w:p>
      <w:r>
        <w:rPr>
          <w:b/>
        </w:rPr>
        <w:t>E. 4.3</w:t>
      </w:r>
    </w:p>
    <w:p>
      <w:r>
        <w:t>Ob die Voraussetzungen für die im März 2006 von Amtes wegen eingeleitete Rentenrevision mit Herabsetzung der ganzen auf eine Viertelsrente erfüllt sind, wird die IV-Stelle, an welche die Sache zu diesem Zweck zurückzuweisen ist, in Nachachtung von Art. 17 ATSG und der hiezu ergangenen Rechtsprechung zu prüfen haben.</w:t>
      </w:r>
    </w:p>
    <w:p>
      <w:r>
        <w:rPr>
          <w:b/>
        </w:rPr>
        <w:t>E. 5</w:t>
      </w:r>
    </w:p>
    <w:p>
      <w:r>
        <w:t>Dem Verfahrensausgang entsprechend sind die Gerichtskosten der unterliegenden IV-Stelle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