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9C_121/2016 vom 27. April 2016</w:t>
      </w:r>
    </w:p>
    <w:p>
      <w:r>
        <w:t>Bundesgericht, 2016-04-27, DE</w:t>
      </w:r>
    </w:p>
    <w:p>
      <w:r>
        <w:rPr>
          <w:b/>
        </w:rPr>
        <w:t xml:space="preserve">Quelle: </w:t>
      </w:r>
      <w:r>
        <w:t>https://mcp.opencaselaw.ch/entscheid/bger_9C_121_2016</w:t>
      </w:r>
    </w:p>
    <w:p>
      <w:r>
        <w:t>FR: TF 9C_121/2016 du 27 avril 2016</w:t>
      </w:r>
    </w:p>
    <w:p>
      <w:r>
        <w:t>IT: TF 9C_121/2016 del 27 aprile 2016</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Auf das Rechtsbegehren Ziff. 1 ist insoweit, als das kantonale Gericht - wie zuvor die IV-Stelle - den Rentenanspruch bis Ende Februar 2014 bejaht hat, mangels eines schutzwürdigen Interesses nicht einzutreten (vgl. Art. 89 Abs. 1 lit. c BGG ). Sodann werden die Rechtsbegehren Ziff. 3 und 4 erstmals im bundesgerichtlichen Verfahren gestellt, weshalb sie grundsätzlich unzulässig sind ( Art. 99 Abs. 2 BGG ). Aus der Beschwerdebegründung, die für die Auslegung der Rechtsbegehren heranzuziehen ist (Urteil 9C_656/2014 vom 16. Dezember 2015 E. 2.3; vgl. auch MEYER/DORMANN, in: Basler Kommentar, Bundesgerichtsgesetz, 2. Aufl. 2011, N. 7 zu Art. 107 BGG ), geht indessen hervor, dass ihnen keine eigenständige Bedeutung zukommt; sie gehen im Rechtsbegehren Ziff. 2 auf. Damit verlangt die Beschwerdeführerin im Wesentlichen die Rückweisung der Sache zur weiteren Abklärung und erneuten Entscheidung.</w:t>
      </w:r>
    </w:p>
    <w:p>
      <w:r>
        <w:rPr>
          <w:b/>
        </w:rPr>
        <w:t>E. 2.2.1</w:t>
      </w:r>
    </w:p>
    <w:p>
      <w:r>
        <w:t>Neue Tatsachen und Beweismittel dürfen nur soweit vorgebracht werden, als erst der Entscheid der Vorinstanz dazu Anlass gibt ( Art. 99 Abs. 1 BGG ). Der vorinstanzliche Verfahrensausgang allein bildet noch keinen hinreichenden Anlass für die Zulässigkeit von unechten Noven, die bereits im kantonalen Verfahren ohne Weiteres hätten vorgebracht werden können. Das Vorbringen von Tatsachen oder Beweismitteln, die sich erst nach dem angefochtenen Entscheid ereigneten oder entstanden (echte Noven), ist vor Bundesgericht unzulässig (Urteile 8C_690/2011 vom 16. Juli 2012 E. 1.3, nicht publ. in: BGE 138 V 286 , aber in: SVR 2012 FZ Nr. 3 S. 7; 9C_526/2014 3. Dezember 2014 E. 2).</w:t>
      </w:r>
    </w:p>
    <w:p>
      <w:r>
        <w:t>Falls der Entscheid der Vorinstanz Anlass gibt, neue Tatsachen und Beweismittel vorzubringen, so ist dies von der beschwerdeführenden Partei näher darzulegen ( Art. 42 Abs. 1 und 2 BGG ; Urteile 8C_424/2012 vom 29. November 2012 E. 2; 8C_826/2008 vom 2. April 2009 E. 3).</w:t>
      </w:r>
    </w:p>
    <w:p>
      <w:r>
        <w:rPr>
          <w:b/>
        </w:rPr>
        <w:t>E. 2.2.2</w:t>
      </w:r>
    </w:p>
    <w:p>
      <w:r>
        <w:t>Die Beschwerdeführerin legt neu nebst einer Bestätigung ihrer Töchter vom 5. Februar 2016 die Berichte vom 29. Januar 2016 und vom 2. Februar 2016 sowie eine elektronische Nachricht vom 2. Februar 2016 des Dr. med. C.________ auf. Diese Unterlagen wurden erst nach Erlass des vorinstanzlichen Entscheids erstellt. Damit handelt es sich um von vornherein unbeachtliche echte Noven (E. 2.2.1).</w:t>
      </w:r>
    </w:p>
    <w:p>
      <w:r>
        <w:t>Sodann macht die Beschwerdeführerin keine Angaben dazu, warum die ebenfalls neu eingereichten Berichte des Dr. med. D.________ vom 14. Juli 2014 und des Dr. med. E.________ vom 22. März 2013 nicht bereits im vorinstanzlichen Verfahren hätten vorgelegt werden können. Daher sind sie ebenfalls unzulässig.</w:t>
      </w:r>
    </w:p>
    <w:p>
      <w:r>
        <w:rPr>
          <w:b/>
        </w:rPr>
        <w:t>E. 3</w:t>
      </w:r>
    </w:p>
    <w:p>
      <w:r>
        <w:t>Die Vorinstanz hat dem Bericht des RAD vom 25. November 2013 Beweiskraft beigemessen und gestützt darauf festgestellt, dass es im Zusammenhang mit den durchgeführten Operationen ab August 2011 zu einer temporären vollständigen Arbeitsunfähigkeit gekommen sei. Spätestens seit der Untersuchung durch Frau med. pract. B.________ am 19. November 2013 habe wieder eine Arbeitsfähigkeit von 80 % in angepassten Tätigkeiten bestanden. Sodann hat sie für den Zeitraum ab November 2013 im Erwerbsbereich einen Invaliditätsgrad von 3,1 % resp., bei einer Gewichtung zu 75 %, von 2,32 % ermittelt. Da die gewichtete Einschränkung im Haushaltsbereich höchstens 25 % betragen könne, hat sie - unter Verweis auf Art. 88a Abs. 1 IVV - einen Rentenanspruch ab März 2014 verneint.</w:t>
      </w:r>
    </w:p>
    <w:p>
      <w:r>
        <w:t>Die Beschwerdeführerin stellt einzig die Beweiskraft des RAD-Berichts in Abrede.</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Den Berichten versicherungsinterner Ärzte, mithin auch des RAD (vgl. Art. 49 Abs. 2 IVV [SR 831.201]), kommt zwar nicht derselbe Beweiswert wie einem im Verfahren nach Art. 44 ATSG eingeholten Gutachten externer Fachpersonen oder gar wie einem Gerichtsgutachten zu, sie sind aber soweit zu berücksichtigen, als auch nicht geringe Zweifel an der Richtigkeit ihrer Schlussfolgerungen bestehen ( BGE 135 V 465 E. 4.2-4.7 S. 467 ff.; Urteil 9C_405/2015 vom 18. Januar 2016 E. 5.1, zur Publikation vorgesehen).</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w:t>
      </w:r>
    </w:p>
    <w:p>
      <w:r>
        <w:t>Ob die erstmals vor Bundesgericht vorgebrachte Behauptung, die RAD-Ärztin verfüge nicht über die kantonale Berufsausübungsbewilligung, zulässig ist (vgl. E. 2.2.1), kann offenbleiben. Selbst wenn sie zutrifft, führt dies nicht zu einem Beweisverwertungsverbot, schreibt doch das Bundesrecht mit Blick auf die Begutachtung keine solche Bewilligung vor (Urteile 9C_526/2014 vom 3. Dezember 2014 E. 5.5; 8C_436/2012 vom 3. Dezember 2012 E. 3.4). Im Übrigen macht die Beschwerdeführerin nicht geltend, die fachliche Qualifikation der Ärztin, die seit 2012 im Medizinalberuferegister des Bundesamtes für Sozialversicherungen (www.medregom.admin.ch) mit einem Weiterbildungstitel in Orthopädischer Chirurgie und Traumatologie des Bewegungsapparates registriert ist, genüge nicht für die Beurteilung der gesundheitlichen Situation.</w:t>
      </w:r>
    </w:p>
    <w:p>
      <w:r>
        <w:rPr>
          <w:b/>
        </w:rPr>
        <w:t>E. 4.4</w:t>
      </w:r>
    </w:p>
    <w:p>
      <w:r>
        <w:t>Soweit die Beschwerdeführerin der RAD-Ärztin vorwirft, deren Begutachtung habe nur "oberflächlich" und unter "grossem Zeitdruck" stattgefunden und sie habe sich unsensibel und arrogant während der Untersuchung aufgeführt, kann sie nichts für sich ableiten: Einerseits sind diese Vorwürfe ebenfalls neu (E. 2.2.1); anderseits fehlt es an konkreten Anhaltspunkten dafür, dass die Untersuchung nicht lege artis erfolgt sein soll. Weder der Umstand, dass sich die Versicherte mehreren Operationen unterziehen musste, noch eine abweichende Arbeitsfähigkeitsschätzung eines behandelnden Arztes (vgl. BGE 125 V 351 E. 3b/cc S. 353) erschüttert per se die Beweiskraft des RAD-Berichts. Die RAD-Ärztin hielt - in Übereinstimmung mit den behandelnden Ärzten - die bisherige Tätigkeit als Detailhandelsverkäuferin für nicht mehr zumutbar. In Bezug auf den medizinischen Sachverhalt deckt sich der RAD-Bericht mit den Erkenntnissen der behandelnden Ärzte. Soweit Letztere überhaupt eine Arbeitsunfähigkeit attestierten, ist nicht ersichtlich, dass sie sich dabei auch auf eine angepasste Tätigkeit im hier interessierenden Zeitraum bezogen (vgl. insbesondere Berichte des Dr. med. E.________ vom 5. November 2013, 4. Februar, 25. Juni und 29. Juli 2014 sowie des Dr. med. F._________ vom 8. Dezember 2014). Sodann steht die Einschätzung der RAD-Ärztin mit den Angaben der Versicherten im Bericht über die Abklärung der beeinträchtigten Arbeitsfähigkeit in Beruf und Haushalt vom 19. Februar 2014, der nicht in Frage gestellt wird, im Einklang. Weiter kann rund acht Monate nach der letzten Operation vom 21. März 2013 nicht von einer "urplötzlichen" Arbeitsfähigkeit gesprochen werden. Schliesslich zielt auch der Vorwurf, die "kritische Würdigung und die verkehrsmedizinische (recte wohl: versicherungsmedizinische) Beurteilung" seien äusserst knapp gehalten, ins Leere: Die Einschätzung der RAD-Ärztin ist einleuchtend und nachvollziehbar. Diese verwies in ihrem Bericht auf die medizinische Berichterstattung sowie auf die von ihr selber durchgeführte Untersuchung und detailliert wiedergegebenen Befunde, welche die Beschwerdeführerin denn auch nicht konkret in Zweifel zieht.</w:t>
      </w:r>
    </w:p>
    <w:p>
      <w:r>
        <w:rPr>
          <w:b/>
        </w:rPr>
        <w:t>E. 4.5</w:t>
      </w:r>
    </w:p>
    <w:p>
      <w:r>
        <w:t>Nach dem Gesagten bestehen auch nicht geringe Zweifel an der Beweiskraft des RAD-Berichts vom 25. November 2013. Folglich erübrigen sich weitere Abklärungen. Die auf dem RAD-Bericht beruhenden vorinstanzlichen Feststellungen betreffend die Arbeitsfähigkeit bleiben für das Bundesgericht verbindlich (E. 1). Die Beschwerde ist unbegründet.</w:t>
      </w:r>
    </w:p>
    <w:p>
      <w:r>
        <w:rPr>
          <w:b/>
        </w:rPr>
        <w:t>E. 5</w:t>
      </w:r>
    </w:p>
    <w:p>
      <w:r>
        <w:t>Dem Verfahrensausgang entsprechend wird die unterliegende Beschwerdeführerin kostenpflichtig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