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9C_119/2025 vom 2. Juni 2025</w:t>
      </w:r>
    </w:p>
    <w:p>
      <w:r>
        <w:t>Bundesgericht, 2025-06-02, DE</w:t>
      </w:r>
    </w:p>
    <w:p>
      <w:r>
        <w:rPr>
          <w:b/>
        </w:rPr>
        <w:t xml:space="preserve">Quelle: </w:t>
      </w:r>
      <w:r>
        <w:t>https://mcp.opencaselaw.ch/entscheid/bger_9C_119_2025</w:t>
      </w:r>
    </w:p>
    <w:p>
      <w:r>
        <w:t>FR: TF 9C_119/2025 du 2 juin 2025</w:t>
      </w:r>
    </w:p>
    <w:p>
      <w:r>
        <w:t>IT: TF 9C_119/2025 del 2 giugno 2025</w:t>
      </w:r>
    </w:p>
    <w:p>
      <w:pPr>
        <w:pStyle w:val="Heading2"/>
      </w:pPr>
      <w:r>
        <w:t>Erwägungen</w:t>
      </w:r>
    </w:p>
    <w:p>
      <w:r>
        <w:rPr>
          <w:b/>
        </w:rPr>
        <w:t>E. 1.1</w:t>
      </w:r>
    </w:p>
    <w:p>
      <w:r>
        <w:t>Weist die Vorinstanz des Bundesgerichts die Sache für eine bestimmte (vorangehende) Teilperiode des Rentenanspruchs zu neuer Beurteilung an die Verwaltung zurück, liegt auch für die darauf folgende, von der Vorinstanz materiell beurteilte Phase ein Zwischenentscheid im Sinne von Art. 93 BGG vor, da über den abgestuften und/oder befristeten Rentenanspruch nicht endgültig entschieden werden kann, solange der Anspruch auf eine vorangehende Teilperiode nicht feststeht (Urteile 8C_24/2024 vom 23. Dezember 2024 E. 5.2.3.2; 8C_530/2010 vom 24. Januar 2011 E. 3.5).</w:t>
      </w:r>
    </w:p>
    <w:p>
      <w:r>
        <w:t>Dient eine von der eidgenössischen oder kantonalen Vorinstanz des Bundesgerichts ausgesprochene Rückweisung an eine Unterinstanz einzig noch der (rechnerischen) Umsetzung des oberinstanzlich Angeordneten, und verbleibt der rückweisungsempfangenden Unterinstanz aus diesem Grund in der Sache selbst keinerlei Entscheidungsspielraum, ist ein solcher Entscheid praxisgemäss wie ein Endentscheid im Sinne von Art. 90 BGG zu behandeln ( BGE 150 II 346 E. 1.3.4). Das trifft hier auf den Zeitraum vom 1. Dezember 2016 bis zum 31. Mai 2017 zu, für den die Vorinstanz den Anspruch auf eine ganze Invalidenrente im Grundsatz bejaht hat. Damit liegt auch für die daran anschliessende Phase ein direkt anfechtbarer Endentscheid vor.</w:t>
      </w:r>
    </w:p>
    <w:p>
      <w:r>
        <w:rPr>
          <w:b/>
        </w:rPr>
        <w:t>E. 1.2</w:t>
      </w:r>
    </w:p>
    <w:p>
      <w:r>
        <w:t>Beschwerdegegnerin in diesem Verfahren ist die IV-Stelle des Kantons St. Gallen, nicht die SVA (vgl. Art. 54 Abs. 2 IVG ; Art. 3 Abs. 2 des Einführungsgesetzes des Kantons St. Gallen vom 13. Januar 1994 zur Bundesgesetzgebung über die Alters-, Hinterlassenen- und Invalidenversicherung [EG-AHV; sGS 350.1]). Ob diese zur Stellungnahme legitimiert ist, kann offenbleiben. Auch wenn - entsprechend ihrem Hinweis und soweit hier von Interesse - die Ausführungen der IV-Stelle in der vorinstanzlich eingebrachten Beschwerdeantwort berücksichtigt werden, ändert sich nichts am Ausgang des Verfahrens.</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2.1</w:t>
      </w:r>
    </w:p>
    <w:p>
      <w:r>
        <w:t>Zur Diskussion steht einzig der Rentenanspruch ab Juni 2017 resp. dessen Aufhebung auf Ende Mai 2017. Die dem hier angefochtenen Urteil zugrunde liegende Verfügung erging am 2. Februar 2024. Dieser Zeitpunkt begrenzt den gerichtlichen Prüfungszeitraum (vgl. BGE 144 V 210 E. 4.3.1; 132 V 215 E. 3.1.1).</w:t>
      </w:r>
    </w:p>
    <w:p>
      <w:r>
        <w:t>Am 1. Januar 2022 trat das revidierte Bundesgesetz über die Invalidenversicherung (IVG; SR 831.20) in Kraft (Weiterentwicklung der IV [WEIV]; Änderung vom 19. Juni 2020, AS 2021 705, BBl 2017 2535). Nach den allgemeinen Grundsätzen des intertemporalen Rechts und des zeitlich massgebenden Sachverhalts (statt vieler: BGE 144 V 210 E. 4.3.1; 129 V 354 E. 1 mit Hinweisen; vgl. auch die Übergangsbestimmungen des IVG zur Änderung vom 19. Juni 2020 [WEIV]) sind hier primär die Bestimmungen des IVG, der IVV (SR 831.201) und des ATSG (SR 830.1) in der bis zum 31. Dezember 2021 geltenden Fassung anwendbar. Sie werden im Folgenden jeweils in dieser Version wiedergegeben, zitiert und angewendet.</w:t>
      </w:r>
    </w:p>
    <w:p>
      <w:r>
        <w:rPr>
          <w:b/>
        </w:rPr>
        <w:t>E. 2.2</w:t>
      </w:r>
    </w:p>
    <w:p>
      <w:r>
        <w:t>Der Rentenanspruch ist abgestuft: Bei einem Invaliditätsgrad von mindestens 40 % resp. 50 %, 60 % oder 70 % besteht Anspruch auf eine Viertelsrente resp. halbe Rente, Dreiviertelsrente oder ganze Rente ( Art. 28 Abs. 2 IVG ).</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 BGE 141 V 9 E. 2.3). Eine Verbesserung der Erwerbsfähigkeit ist für die Anpassung des Anspruchs von dem Zeitpunkt an zu berücksichtigen, in dem angenommen werden kann, dass sie voraussichtlich längere Zeit dauern wird. Sie ist in jedem Fall zu berücksichtigen, nachdem sie ohne wesentliche Unterbrechung drei Monate gedauert hat und voraussichtlich weiterhin andauern wird ( Art. 88a Abs. 1 IVV ). Diese Revisionsbestimmungen sind bei der rückwirkenden Zusprechung einer abgestuften oder befristeten Rente analog anwendbar ( BGE 150 V 67 E. 4.3.2; 145 V 209 E. 5.3; 133 V 263 E. 6.1).</w:t>
      </w:r>
    </w:p>
    <w:p>
      <w:r>
        <w:rPr>
          <w:b/>
        </w:rPr>
        <w:t>E. 3</w:t>
      </w:r>
    </w:p>
    <w:p>
      <w:r>
        <w:t>Die Vorinstanz hat den SMAB-Gutachten Beweiskraft beigemessen und gestützt darauf festgestellt, dass der Beschwerdeführer (spätestens) von Dezember 2016 bis Ende Februar 2017 vollständig arbeitsunfähig, indessen ab dem 1. März 2017 (in leidensangepassten Tätigkeiten) wieder zu 50 % resp. ab dem 1. April 2017 zu 100 % arbeitsfähig gewesen sei. Für die Invaliditätsbemessung hat sie erwogen, die Vergleichseinkommen beruhten auf der gleichen Tätigkeit als "durchschnittlicher Hilfsarbeiter aller Branchen", weshalb jeweils ein Invaliditätsgrad von 100 resp. 50 und 0 % resultiere. Die kurzzeitige Erhöhung der Arbeitsfähigkeit im März 2017 finde gemäss Art. 88a IVV ohnehin keine Berücksichtigung. Damit stehe dem Beschwerdeführer eine ganze Invalidenrente ab dem 1. Dezember 2016 zu; der Rentenanspruch ende - in analoger Anwendung von Art. 17 Abs. 1 ATSG i.V.m. Art. 88a Abs. 1 IVV - mit einer dreimonatigen Verzögerung am 1. Juni resp. 31. Mai 2017.</w:t>
      </w:r>
    </w:p>
    <w:p>
      <w:r>
        <w:rPr>
          <w:b/>
        </w:rPr>
        <w:t>E. 4.1</w:t>
      </w:r>
    </w:p>
    <w:p>
      <w:r>
        <w:t>Die vorinstanzlichen Feststellungen betreffend die Arbeitsfähigkeit des Versicherten bleiben unbestritten und für das Bundesgericht verbindlich (vgl. vorangehende E. 1.3).</w:t>
      </w:r>
    </w:p>
    <w:p>
      <w:r>
        <w:t>Streitig ist die vom Beschwerdeführer bereits im vorinstanzlichen Verfahren aufgeworfene Frage, ob angesichts der konkreten Gegebenheiten die (ab März resp. April 2017) hinzugewonnene Arbeitsfähigkeit auf dem ausgeglichenen Arbeitsmarkt verwertbar war. Ist die Frage zu verneinen, hätte ihm - zumindest bis auf Weiteres - auch kein Invalideneinkommen angerechnet werden dürfen, was die Unzulässigkeit der Rentenaufhebung zur Folge hätte.</w:t>
      </w:r>
    </w:p>
    <w:p>
      <w:r>
        <w:rPr>
          <w:b/>
        </w:rPr>
        <w:t>E. 4.2.1</w:t>
      </w:r>
    </w:p>
    <w:p>
      <w:r>
        <w:t>Das vorgerückte Alter kann zusammen mit weiteren persönlichen und beruflichen Gegebenheiten dazu führen,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Für den Zeitpunkt, in dem die Frage nach der Verwertbarkeit der (Rest-) Arbeitsfähigkeit bei vorgerücktem Alter beantwortet wird, ist auf das Feststehen der medizinischen Zumutbarkeit einer (Teil-) Erwerbstätigkeit abzustellen ( BGE 145 V 2 E. 5.3.1; 138 V 457 E. 3.3).</w:t>
      </w:r>
    </w:p>
    <w:p>
      <w:r>
        <w:rPr>
          <w:b/>
        </w:rPr>
        <w:t>E. 4.2.2</w:t>
      </w:r>
    </w:p>
    <w:p>
      <w:r>
        <w:t>Im Zusammenhang mit hinzugewonnener Arbeitsfähigkeit eines Rentners ist (von Amtes wegen) die Rechtsprechung zur Zumutbarkeit der Selbsteingliederung zu beachten:</w:t>
      </w:r>
    </w:p>
    <w:p>
      <w:r>
        <w:t>Bei Personen, deren Invalidenrente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 BGE 145 V 209 E. 5.1 mit Hinweisen; Urteil 8C_526/2024 vom 24. März 2025 E. 4.4.1).</w:t>
      </w:r>
    </w:p>
    <w:p>
      <w:r>
        <w:t>Die Frage nach der Selbsteingliederung bei fortgeschrittenem Alter stellt sich schon bei vergleichsweise kurzer Rentenbezugsdauer ( BGE 145 V 209 E. 5.3 am Ende; Urteile 8C_50/2024 vom 8. Mai 2024 E. 5.4; 8C_348/2022 vom 22. November 2022 E. 6.2.3). Bei der Herabsetzung oder Aufhebung der Invalidenrente von über 55-jährigen versicherten Personen sind auch dann grundsätzlich Eingliederungsmassnahmen durchzuführen, wenn über die Befristung und/oder Abstufung zeitgleich mit der Rentenzusprache befunden wird ( BGE 148 V 321 E. 7.1.2; 145 V 209 E. 5.4). Für die Ermittlung, ob der Eckwert des 55. Altersjahres erreicht ist, wird bei rückwirkend befristeter und/oder abgestufter Rentenzusprache auf den Verfügungszeitpunkt abgestellt ( BGE 148 V 321 E. 7.3.2).</w:t>
      </w:r>
    </w:p>
    <w:p>
      <w:r>
        <w:rPr>
          <w:b/>
        </w:rPr>
        <w:t>E. 4.3</w:t>
      </w:r>
    </w:p>
    <w:p>
      <w:r>
        <w:t>Die Vorinstanz hat sich im angefochtenen Urteil - trotz entsprechender Rügen des Beschwerdeführers und dazu erfolgter Stellungnahme der IV-Stelle - auch nicht ansatzweise mit der Verwertbarkeit der Restarbeitsfähigkeit zufolge vorgerückten Alters (vgl. vorangehende E. 4.2.1) befasst. Ebenso wenig hat sie sich in Bezug auf die hinzugewonnene Arbeitsfähigkeit des Versicherten zu dessen Selbsteingliederungsfähigkeit (vgl. vorangehende E. 4.2.2) geäussert. Die Unterlagen erlauben eine Ergänzung des Sachverhalts durch das Bundesgericht (vgl. vorangehende E. 1.3). Eine Rückweisung in diesem Punkt würde denn auch zu einem formalistischen Leerlauf und damit zu unnötiger Verzögerung führen ( BGE 137 I 195 E. 2.3.2), wie der Beschwerdeführer zutreffend geltend macht.</w:t>
      </w:r>
    </w:p>
    <w:p>
      <w:r>
        <w:rPr>
          <w:b/>
        </w:rPr>
        <w:t>E. 4.4</w:t>
      </w:r>
    </w:p>
    <w:p>
      <w:r>
        <w:t>Der Beschwerdeführer war bei Erlass der Verfügung vom 2. Februar 2024 über 60 Jahre alt. Damit greift die Vermutung, wonach ihm die Selbsteingliederung unzumutbar war. Angesichts der vorinstanzlich festgestellten vollständigen Arbeitsunfähigkeit lässt sich die Absenz vom Arbeitsmarkt nicht ohne Weiteres auf invaliditätsfremde Gründe zurückführen. Es fehlt ein konkreter Anhaltspunkt dafür, dass der Versicherte besonders agil, gewandt oder im gesellschaftlichen Leben integriert sein soll, oder dass er aus einem anderen Grund ausnahmsweise auf den Weg der Selbsteingliederung verwiesen werden könnte. Folglich gilt die hinzugewonnene Arbeitsfähigkeit zumindest nicht als direkt (ohne Eingliederungsmassnahmen) verwertbar. Ob das Alter des Versicherten per se der Verwertbarkeit der Restarbeitsfähigkeit entgegensteht, kann offenbleiben.</w:t>
      </w:r>
    </w:p>
    <w:p>
      <w:r>
        <w:rPr>
          <w:b/>
        </w:rPr>
        <w:t>E. 4.5</w:t>
      </w:r>
    </w:p>
    <w:p>
      <w:r>
        <w:t>Nach dem Gesagten hat die Vorinstanz den Rentenanspruch zu Unrecht befristet. Für die Zeit ab dem 1. Januar 2022 ergibt sich nichts anderes, zumal die seither geltenden Bestimmungen des IVG auf den Beschwerdeführer nicht anwendbar sind (vgl. lit. c der Übergangsbestimmungen zur Änderung vom 19. Juni 2020 [WEIV]). Ausführungen zum (vorinstanzlich vorgezogenen) Zeitpunkt der Rentenaufhebung sind obsolet. Die Beschwerde ist begründet.</w:t>
      </w:r>
    </w:p>
    <w:p>
      <w:r>
        <w:rPr>
          <w:b/>
        </w:rPr>
        <w:t>E. 5</w:t>
      </w:r>
    </w:p>
    <w:p>
      <w:r>
        <w:t>Dem Ausgang des Verfahrens entsprechend hat die Beschwerdegegnerin die Gerichtskosten zu tragen ( Art. 66 Abs. 1 BGG ) und dem Beschwerdeführer eine Parteientschädigung zu entrichten ( Art. 68 Abs. 2 BGG ).</w:t>
      </w:r>
    </w:p>
    <w:p>
      <w:r>
        <w:t>Dieses Urteil bleibt ohne Auswirkung auf die vorinstanzliche Kostenverlegung, weshalb sich eine diesbezügliche Rückweisung erübrigt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