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119/2020 vom 18. Mai 2020</w:t>
      </w:r>
    </w:p>
    <w:p>
      <w:r>
        <w:t>Bundesgericht, 2020-05-18, DE</w:t>
      </w:r>
    </w:p>
    <w:p>
      <w:r>
        <w:rPr>
          <w:b/>
        </w:rPr>
        <w:t xml:space="preserve">Quelle: </w:t>
      </w:r>
      <w:r>
        <w:t>https://mcp.opencaselaw.ch/entscheid/bger_9C_119_2020</w:t>
      </w:r>
    </w:p>
    <w:p>
      <w:r>
        <w:t>FR: TF 9C 119/2020 du 18 mai 2020</w:t>
      </w:r>
    </w:p>
    <w:p>
      <w:r>
        <w:t>IT: TF 9C 119/2020 del 18 maggio 2020</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BGG beruht ( Art. 105 Abs. 2 BGG ). 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1.2</w:t>
      </w:r>
    </w:p>
    <w:p>
      <w:r>
        <w:t>Bei den gerichtlichen Feststellungen zum Gesundheitszustand und zur Arbeitsfähigkeit bzw. deren Veränderung in einem bestimmten Zeitraum handelt es sich grundsätzlich um Entscheidungen über Tatfragen ( BGE 132 V 393 E. 3.2 S. 397 ff.). Gleiches gilt für die konkrete Beweiswürdigung (Urteil 9C_204/2009 vom 6. Juli 2009 E. 4.1, nicht publ. in: BGE 135 V 254 , aber in: SVR 2009 IV Nr. 53 S. 164).</w:t>
      </w:r>
    </w:p>
    <w:p>
      <w:r>
        <w:rPr>
          <w:b/>
        </w:rPr>
        <w:t>E. 2</w:t>
      </w:r>
    </w:p>
    <w:p>
      <w:r>
        <w:t>Streitig und zu prüfen ist der Anspruch der Beschwerdeführerin auf eine Rente der Invalidenversicherung. Die hierfür massgeblichen Rechtsgrundlagen gibt der angefochtene Entscheid zutreffend wieder. Darauf wird verwiesen.</w:t>
      </w:r>
    </w:p>
    <w:p>
      <w:r>
        <w:rPr>
          <w:b/>
        </w:rPr>
        <w:t>E. 3.1</w:t>
      </w:r>
    </w:p>
    <w:p>
      <w:r>
        <w:t>Nach einlässlicher Würdigung der medizinischen Akten stellte das kantonale Gericht fest, ausgehend von der - auch mit Blick auf das strukturierte Beweisverfahren - beweiskräftigen Expertise der MEDAS Bern vom 24. April 2017 habe sich der somatische Gesundheitszustand der Beschwerdeführerin im September 2015 erheblich verschlechtert, was auch von der Beschwerdeführerin nicht bestritten werde. Ab diesem Zeitpunkt sei sie für angepasste Tätigkeiten zu 100 % arbeitsunfähig gewesen, weshalb in Anwendung von Art. 88a Abs. 2 und Art. 88bis Abs. 1 lit. b IVV mit Wirkung ab Dezember 2015 Anspruch auf eine ganze Invalidenrente bestehe. Ab Juni 2016 liege gestützt auf das Gutachten der MEDAS Bern eine vollständige Arbeitsfähigkeit vor, weshalb der Anspruch auf eine ganze Rente bis zum 31. August 2016 zu befristen und die bisherige (mit Verfügung vom 12. Mai 2011 zugesprochene) Viertelsrente auf Ende des der Zustellung der Verfügung folgenden Monats einzustellen sei.</w:t>
      </w:r>
    </w:p>
    <w:p>
      <w:r>
        <w:rPr>
          <w:b/>
        </w:rPr>
        <w:t>E. 3.2.1</w:t>
      </w:r>
    </w:p>
    <w:p>
      <w:r>
        <w:t>In Wiederholung des bereits im vorinstanzlichen Verfahren Vorgebrachten macht die Beschwerdeführerin geltend, die Verwaltung habe den Gehörsanspruch verletzt, weil sie beim Gutachter Ergänzungsfragen gestellt habe, ohne ihr ebenfalls Gelegenheit zu solchen zu geben. Mit den diesbezüglich massgebenden Erwägungen des angefochtenen Entscheids (dortige E. 4.3), auf welche verwiesen wird ( Art. 109 Abs. 3 BGG ), setzt sich die Beschwerdeführerin nicht auseinander (zur Rüge- und Begründungspflicht der Parteien vgl. E. 1.1 hievor). Weiterungen dazu erübrigen sich.</w:t>
      </w:r>
    </w:p>
    <w:p>
      <w:r>
        <w:rPr>
          <w:b/>
        </w:rPr>
        <w:t>E. 3.2.2</w:t>
      </w:r>
    </w:p>
    <w:p>
      <w:r>
        <w:t>Gegen die Zuverlässigkeit des psychiatrischen Teilgutachtens des Dr. med. C.________ bringt die Beschwerdeführerin vor, im Gegensatz zu Dr. med. D.________ (Bericht der Klinik für Konsiliarpsychiatrie und Psychosomatik E.________ vom 6. August 2018) habe der MEDAS-Gutachter kein SKID-II-Interview geführt. Dies allein spricht indessen nicht gegen die Zuverlässigkeit der Expertise, unterliegt die Durchführung psychiatrischer Tests doch grundsätzlich der Fachkenntnis und dem Ermessensspielraum des Experten (Urteil 9C_804/2018 vom 23. Januar 2019 E. 2.2 mit Hinweisen). Was die Beschwerdeführerin im Übrigen gegen das Gutachten vorbringt, beschränkt sich im Wesentlichen auf die bereits im vorinstanzlichen Verfahren vorgebrachte Behauptung, Dr. med. C.________ habe sich "in Total-Opposition zu sämtlichen bisherigen Medizinern" begeben. Mit Ausnahme eines pauschalen Hinweises auf den erwähnten Bericht der Klinik für Konsiliarpsychiatrie und Psychosomatik E.________ vom 6. August 2018 bzw. auf die darin abweichend gestellten Diagnosen zeigt die Beschwerdeführerin indessen nicht ansatzweise auf, zu welchen medizinischen Berichten sich Dr. med. C.________ in Widerspruch gesetzt haben soll und inwiefern darin wichtige Aspekte benannt werden, welche ein Abweichen vom Administrativgutachten rechtfertigten (vgl. dazu nachfolgend E. 3.2.3). Es fehlt in der Beschwerde auch an einer eingehenden Auseinandersetzung mit den diesbezüglich massgebenden Erwägungen im angefochtenen Entscheid (dortige E. 4.2), auf welche verwiesen wird ( Art. 109 Abs. 3 BGG ). Dasselbe gilt in Bezug auf den vorinstanzlichen Schluss, es sei nicht zu bemängeln, dass die Gutachter in der zusätzlichen Stellungnahme vom 4. Oktober 2018 der Suizidalität keine dauerhafte Auswirkung auf die Arbeitsfähigkeit beigemessen hätten. Weiterungen dazu erübrigen sich.</w:t>
      </w:r>
    </w:p>
    <w:p>
      <w:r>
        <w:rPr>
          <w:b/>
        </w:rPr>
        <w:t>E. 3.2.3</w:t>
      </w:r>
    </w:p>
    <w:p>
      <w:r>
        <w:t>Wie die Vorinstanz richtig erwogen hat und die Beschwerdeführerin nicht bestreitet, ist ein Administrativgutachten nicht stets dann in Frage zu stellen und zum Anlass weiterer Abklärungen zu nehmen, wenn behandelnde Ärzte zu einem anderen Ergebnis gelangen; vorbehalten bleiben Fälle, in denen sich eine abweichende Beurteilung aufdrängt, weil sie wichtige Aspekte benennen, die im Rahmen der Begutachtung unerkannt oder ungewürdigt geblieben sind (vgl. statt vieler SVR 2017 IV Nr. 49 S. 148; 9C_338/2015 E. 5.5). Inwiefern solche Aspekte aus den medizinischen Akten hervorgingen, ist weder ersichtlich noch in der Beschwerde rechtsgenüglich dargetan. Der stattdessen vorgebrachte Einwand, das kantonale Gericht habe die eben zitierte Rechtsprechung falsch angewendet, weil mit Dr. med. B.________ bereits 2006 eine externe Gutachterin von der IV-Stelle beauftragt worden sei, zielt ins Leere. Dies bereits deshalb, weil sich die Vorinstanz ausdrücklich nur auf die abweichenden Einschätzungen der behandelnden Ärzte bezog. Darüber hinaus geht es, wie das kantonale Gericht richtig erwogen hat, nicht um die Frage, ob der Beschwerdeführerin seinerzeit zu Recht eine Viertelsrente zugesprochen worden war, sondern einzig, ob sich ihr Gesundheitszustand seither relevant verändert hat. Die Vorinstanz bejahte eine solche - im Übrigen von Dr. med. B.________ damals als realistisch prognostizierte - Veränderung, womit kein Widerspruch zwischen den Gutachten besteht.</w:t>
      </w:r>
    </w:p>
    <w:p>
      <w:r>
        <w:rPr>
          <w:b/>
        </w:rPr>
        <w:t>E. 3.2.4</w:t>
      </w:r>
    </w:p>
    <w:p>
      <w:r>
        <w:t>Anders als in der Beschwerde suggeriert, hat die Vorinstanz auch nicht erwogen, ein Krankheitsbild könne nur eine Invalidität bewirken, wenn dieses völlig unabhängig von soziokulturellen und psychosozialen Faktoren bestehe. Vielmehr lag dem angefochtenen Entscheid die unter Hinweis auf das Gutachten der MEDAS Bern gewonnene Erkenntnis zugrunde, dass - bei offensichtlich vorhandenen psychosozialen Faktoren - sowohl aus somatischer wie auch aus psychischer Sicht nur leichte Befunde vorgelegen hätten.</w:t>
      </w:r>
    </w:p>
    <w:p>
      <w:r>
        <w:rPr>
          <w:b/>
        </w:rPr>
        <w:t>E. 3.2.5</w:t>
      </w:r>
    </w:p>
    <w:p>
      <w:r>
        <w:t>Bei der gegebenen Aktenlage verletzte das kantonale Gericht auch kein Bundesrecht, wenn es in antizipierter Beweiswürdigung auf weitere Beweismassnahmen verzichtete.</w:t>
      </w:r>
    </w:p>
    <w:p>
      <w:r>
        <w:rPr>
          <w:b/>
        </w:rPr>
        <w:t>E. 4</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 Damit erübrigen sich Weiterungen zum beantragten zweiten Schriftenwechsel (vgl. dazu Urteil 9C_278/2019 vom 16. August 2019 E. 1.2 mit Hinweis auf BGE 135 I 19 E. 2.2 S. 21).</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