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117/2020 vom 3. Juni 2020</w:t>
      </w:r>
    </w:p>
    <w:p>
      <w:r>
        <w:t>Bundesgericht, 2020-06-03, DE</w:t>
      </w:r>
    </w:p>
    <w:p>
      <w:r>
        <w:rPr>
          <w:b/>
        </w:rPr>
        <w:t xml:space="preserve">Quelle: </w:t>
      </w:r>
      <w:r>
        <w:t>https://mcp.opencaselaw.ch/entscheid/bger_9C_117_2020</w:t>
      </w:r>
    </w:p>
    <w:p>
      <w:r>
        <w:t>FR: TF 9C 117/2020 du 3 juin 2020</w:t>
      </w:r>
    </w:p>
    <w:p>
      <w:r>
        <w:t>IT: TF 9C 117/2020 del 3 giugno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2.1</w:t>
      </w:r>
    </w:p>
    <w:p>
      <w:r>
        <w:t>Eine sachgerechte Anfechtung des vorinstanzlichen Entscheids war möglich; es kann somit nicht von einer Verletzung der Begründungspflicht resp. des Anspruchs auf rechtliches Gehör gesprochen werden (vgl. BGE 142 III 433 E. 4.3.2 S. 436 mit Hinweisen).</w:t>
      </w:r>
    </w:p>
    <w:p>
      <w:r>
        <w:rPr>
          <w:b/>
        </w:rPr>
        <w:t>E. 2.2</w:t>
      </w:r>
    </w:p>
    <w:p>
      <w:r>
        <w:t>Der Beschwerdeführer beantragt letztinstanzlich (eventualiter) die Rückweisung der Sache an die Beschwerdegegnerin zu ergänzenden beruflichen Massnahmen. Dieses neue Begehren ist vor Bundesgericht nach Art. 99 Abs. 2 BGG unzulässig. Es ist insoweit auf die Beschwerde nicht einzutreten.</w:t>
      </w:r>
    </w:p>
    <w:p>
      <w:r>
        <w:rPr>
          <w:b/>
        </w:rPr>
        <w:t>E. 3.1</w:t>
      </w:r>
    </w:p>
    <w:p>
      <w:r>
        <w:t>Das kantonale Gericht hat den Expertisen von asim und der Dres. med. B.________ und C.________ Beweiskraft zuerkannt. Es hat - abgesehen vom Zeitraum zwischen dem 25. Oktober 2012 und 15. Juli 2013, in welchem es von einer 50%igen Einschränkung der Arbeitsfähigkeit ausgegangen ist - eine Arbeitsfähigkeit von 80 % respektive ab Dezember 2016 von 70 % festgestellt. Die durchgeführten Eingliederungsmassnahmen hat die Vorinstanz sodann als verhältnismässig beurteilt. Den frühestmöglichen Rentenbeginn hat sie auf den 1. Oktober 2002 festgelegt. Validen- und Invalideneinkommen hat das kantonale Gericht gestützt auf die Schweizerischen Lohnstrukturerhebungen des Bundesamtes für Statistik ermittelt (Valideneinkommen: TA1, sonstige persönliche Dienstleistungen, Kompetenzniveau 1+2, Männer; Invalideneinkommen: TA1, Total, Männer), wobei es den abgeschlossenen Eingliederungsmassnahmen durch die Anrechnung eines höheren Kompetenzniveaus (Kompetenzniveau 2) als vor dem Abschluss Rechnung getragen hat. Gestützt hierauf hat es bei einem Invaliditätsgrad von 63 % den Anspruch auf eine Dreiviertelsrente vom 1. Oktober 2012 bis 31. Oktober 2013 bejaht.</w:t>
      </w:r>
    </w:p>
    <w:p>
      <w:r>
        <w:rPr>
          <w:b/>
        </w:rPr>
        <w:t>E. 3.2</w:t>
      </w:r>
    </w:p>
    <w:p>
      <w:r>
        <w:t>Strittig und damit zu prüfen sind die Grundlagen, auf welchen das Invalideneinkommen zu ermitteln ist.</w:t>
      </w:r>
    </w:p>
    <w:p>
      <w:r>
        <w:rPr>
          <w:b/>
        </w:rPr>
        <w:t>E. 4</w:t>
      </w:r>
    </w:p>
    <w:p>
      <w:r>
        <w:t>Die Vorinstanz hat die rechtlichen Bestimmungen und die Rechtsprechung zum Anspruch auf eine Invalidenrente korrekt dargelegt. Dies gilt insbesondere für die Rentenabstufung, die massgebenden Legaldefinitionen, die Bemessung des Invaliditätsgrades, die Invalidität bei psychischen Gesundheitsbeeinträchtigungen, die Aufgabe der Mediziner, die richterliche Beweiswürdigung und die Beweiskraft medizinischer Unterlagen. Darauf wird verwiesen.</w:t>
      </w:r>
    </w:p>
    <w:p>
      <w:r>
        <w:rPr>
          <w:b/>
        </w:rPr>
        <w:t>E. 5.1</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5.2</w:t>
      </w:r>
    </w:p>
    <w:p>
      <w:r>
        <w:t>Die Vorinstanz hat das Invalideneinkommen im strittigen Zeitraum zwischen den beiden Expertisen von MEDAS (2003) und asim (2008) gestützt auf eine Arbeitsfähigkeit von 80 % und nicht von 70 % in leidensangepasster Tätigkeit ermittelt (vorinstanzliche Erwägungen 9.3.2 f. S. 14). Damit ist sie der Schätzung der asim-Gutachter gefolgt. Die somatischen Fachärzte nahmen ihre Arbeitsfähigkeitsschätzung in Kenntnis der medizinischen Aktenlage - auch der Berichte von Dr. med. D.________, Facharzt für Allgemeine Innere Medizin, vom 25. Juli 2005 und 6. Februar 2006 - vor (Gesamtgutachten Ziff. 2.1. S. 3, Ziff. 3. S. 6 f.). Sie setzten sich mit dem Verlauf seit 2003 auseinander und begründeten ihre Schätzung, wobei sie insbesondere den Bericht von Dr. med. D.________ vom Juli 2005 explizit würdigten (Rheumatologisches Fachgutachten S. 5; Neurologisches Fachgutachten Ziff. 4. S. 5; Gesamtgutachten Ziff. 7.1. S. 16). Entgegen der Ansicht des Beschwerdeführers bildet die Expertise der asim damit eine geeignete Grundlage für die Beurteilung der Arbeitsfähigkeit im Verlauf ab Erstattung des MEDAS-Gutachtens. Dass das kantonale Gericht ihr folgend eine Arbeitsfähigkeit von 80 % festgestellt hat, ist weder offensichtlich unrichtig noch das Ergebnis einer Rechtsverletzung (E. 1, 5.1).</w:t>
      </w:r>
    </w:p>
    <w:p>
      <w:r>
        <w:rPr>
          <w:b/>
        </w:rPr>
        <w:t>E. 5.3</w:t>
      </w:r>
    </w:p>
    <w:p>
      <w:r>
        <w:t>Das kantonale Gericht ist weiter nicht ab 2008, sondern erst ab Erstattung des Gutachtens der Dres. med. B.________ und C.________ im Dezember 2016 von der darin attestierten 70%igen Arbeitsfähigkeit in leidensangepasster Tätigkeit ausgegangen (vorinstanzliche Erwägung 7.5 S. 11). Zwar erscheint nicht klar, ob Dr. med. C.________ die Arbeitsunfähigkeit in leidensangepasster Tätigkeit auf 20 % oder 30 % schätzte (Rheumatologisches und schmerzmedizinisches Gutachten S. 41 f.). Aus psychiatrischer Sicht ist jedoch gestützt auf die unbestrittene Schätzung von Dr. med. B.________ von einer 30%igen Arbeitsunfähigkeit in leidensangepasster Tätigkeit auszugehen (Psychiatrisches Gutachten S. 63). Diese ist gemäss Konsensbeurteilung alleine massgebend (Konsensbeurteilung S. 66). Im Ergebnis zeitigt die Unklarheit im somatischen Gutachten somit keine Auswirkungen, weshalb sie auch nicht geeignet ist, die Beweiskraft der Expertise in Frage zu stellen. Der Beschwerdeführer beschränkt sich im Übrigen darauf, seine Arbeitsfähigkeit in leidensangepasster Tätigkeit gestützt auf die im Rahmen der Eingliederungsmassnahmen gezeigte Leistung anders zu würdigen als die Vorinstanz. Dies genügt bereits in grundsätzlicher Weise nicht (Urteile 9C_123/2018 vom 16. Januar 2019 E. 3.4.2 und 9C_494/2016 vom 19. Dezember 2016 E. 3.5). Sodann ist insbesondere darauf hinzuweisen, dass aus der bei beruflichen Massnahmen gezeigten Leistung nicht auf eine medizinisch-theoretische Leistungsfähigkeit geschlossen werden kann, da die Leistung auch von nicht-medizinischen Faktoren beeinflusst sein kann, wie das hier offensichtlich der Fall ist. Aus dem gleichen Grund eignet sie sich auch nicht, eine fundierte gutachterliche Arbeitsfähigkeitsschätzung in Frage zu stellen. Die Gutachter berücksichtigten die durchgeführten beruflichen Massnahmen und in diesem Zusammenhang insbesondere auch die im E.________ gezeigten Leistungen (vgl. Gutachten S. 2-21; Rheumatologisches und schmerzmedizinisches Gutachten S. 22-26, insb. S. 25, S. 39 f.; Psychiatrisches Gutachten S. 48 ff., S. 54). Damit hat es sein Bewenden. Folglich ist die ab Dezember 2016 festgestellte 70%ige Arbeitsfähigkeit in leidensangepasster Tätigkeit weder offensichtlich unrichtig, noch stellt sie das Ergebnis einer Rechtsverletzung dar (E. 1, 5.1). Der Verzicht der Vorinstanz auf weitere Abklärungen ist in zulässiger antizipierter Beweiswürdigung ( BGE 136 I 229 E. 5.3 S. 236; 124 V 90 E. 4b S. 94) und damit ohne Verletzung des Untersuchungsgrundsatzes erfolgt.</w:t>
      </w:r>
    </w:p>
    <w:p>
      <w:r>
        <w:rPr>
          <w:b/>
        </w:rPr>
        <w:t>E. 5.4</w:t>
      </w:r>
    </w:p>
    <w:p>
      <w:r>
        <w:t>Soweit der Beschwerdeführer schliesslich verlangt, für die Ermittlung des Invalideneinkommens sei auf die Tätigkeit als Coiffeur abzustellen, ist ihm - unabhängig von der Frage nach der Verhältnismässigkeit der durchgeführten Eingliederungsmassnahmen - für keinen Zeitraum zu folgen. Vielmehr muss er sich in Nachachtung der ihm obliegenden Schadenminderungslast (vgl. hierzu BGE 130 V 97 E. 3.2 S. 99, 129 V 460 E. 4.2 S. 463, je mit Hinweisen) diejenige Tätigkeit anrechnen lassen, bei welcher der geringste Invaliditätsgrad resultiert. Mit Blick auf die Arbeitsfähigkeitsschätzungen von MEDAS, asim und der Dres. med. B.________ und C.________ war respektive ist dies - auch ohne die Eingliederungsmassnahmen - nicht die Tätigkeit als Coiffeur, die er unbestritten nur noch zu 50 % ausüben kann. Die Ausführungen in Erwägung 7 des Urteils I 128/07 vom 16. Januar 2008 hinsichtlich der Verringerung respektive Behebung der Erwerbsunfähigkeit mittels geeigneter Eingliederungsmassnahmen sind im Kontext der damals noch nicht abschliessend feststehenden Arbeitsfähigkeit zu sehen. Weiterungen erübrigen sich.</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