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9C_116/2020 vom 28. Februar 2020</w:t>
      </w:r>
    </w:p>
    <w:p>
      <w:r>
        <w:t>Bundesgericht, 2020-02-28, DE</w:t>
      </w:r>
    </w:p>
    <w:p>
      <w:r>
        <w:rPr>
          <w:b/>
        </w:rPr>
        <w:t xml:space="preserve">Quelle: </w:t>
      </w:r>
      <w:r>
        <w:t>https://mcp.opencaselaw.ch/entscheid/bger_9C_116_2020</w:t>
      </w:r>
    </w:p>
    <w:p>
      <w:r>
        <w:t>FR: TF 9C_116/2020 du 28 février 2020</w:t>
      </w:r>
    </w:p>
    <w:p>
      <w:r>
        <w:t>IT: TF 9C_116/2020 del 28 febbraio 2020</w:t>
      </w:r>
    </w:p>
    <w:p>
      <w:pPr>
        <w:pStyle w:val="Heading2"/>
      </w:pPr>
      <w:r>
        <w:t>Volltext</w:t>
      </w:r>
    </w:p>
    <w:p>
      <w:r>
        <w:t>Bundesgericht</w:t>
      </w:r>
    </w:p>
    <w:p>
      <w:r>
        <w:t>Tribunal fédéral</w:t>
      </w:r>
    </w:p>
    <w:p>
      <w:r>
        <w:t>Tribunale federale</w:t>
      </w:r>
    </w:p>
    <w:p>
      <w:r>
        <w:t>Tribunal federal</w:t>
      </w:r>
    </w:p>
    <w:p>
      <w:r>
        <w:t>9C_116/2020</w:t>
      </w:r>
    </w:p>
    <w:p>
      <w:r>
        <w:t>Urteil vom 28. Februar 2020</w:t>
      </w:r>
    </w:p>
    <w:p>
      <w:r>
        <w:t>II. sozialrechtliche Abteilung</w:t>
      </w:r>
    </w:p>
    <w:p>
      <w:r>
        <w:t>Besetzung</w:t>
      </w:r>
    </w:p>
    <w:p>
      <w:r>
        <w:t>Bundesrichter Meyer, als Einzelrichter,</w:t>
      </w:r>
    </w:p>
    <w:p>
      <w:r>
        <w:t>Gerichtsschreiberin Stanger.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13. Dezember 2019 (IV.2018.01055).</w:t>
      </w:r>
    </w:p>
    <w:p>
      <w:r>
        <w:t>Nach Einsicht</w:t>
      </w:r>
    </w:p>
    <w:p>
      <w:r>
        <w:t>in die Beschwerde vom 10. Februar 2020 (Poststempel) gegen den Entscheid des Sozialversicherungsgerichts des Kantons Zürich vom 13. Dezember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zu zeigen ist, welche Vorschriften und weshalb sie von der Vorinstanz verletzt worden sind ( BGE 140 III 86 E. 2 S. 88 f.; 134 V 53 E. 3.3 S. 60), während rein appellatorische Kritik nicht ausreicht (vgl. BGE 140 III 264 E. 2.3 S. 266),</w:t>
      </w:r>
    </w:p>
    <w:p>
      <w:r>
        <w:t>dass die Vorinstanz nach einlässlicher Würdigung der medizinischen Aktenlage, insbesondere unter Berücksichtigung des ABI-Gutachtens vom 16. April 2018, zum Ergebnis gelangte, es sei mit überwiegender Wahrscheinlichkeit davon auszugehen, dass spätestens nach Ablauf des Wartejahres (vgl. Art. 28 Abs. 1 lit. b IVG ) im August 2015 keine anhaltende Arbeitsunfähigkeit in einer leichten bis mittelschweren Tätigkeit mehr bestanden habe,</w:t>
      </w:r>
    </w:p>
    <w:p>
      <w:r>
        <w:t>dass sich der Beschwerdeführer damit lediglich in appellatorischer Weise befasst, indem er sich im Wesentlichen unter Verweis auf die Beurteilungen der behandelnden Ärzte auf eine eigene, von der Vorinstanz abweichende Beweiswürdigung und Darstellung seiner gesundheitlichen Verhältnisse beschränkt, was nicht genügt,</w:t>
      </w:r>
    </w:p>
    <w:p>
      <w:r>
        <w:t>dass an der unzureichenden Beschwerdebegründung auch die vor Bundesgericht eingereichten Berichte des Spitals B.________, soweit es sich dabei nicht ohnehin um unzulässige Noven im Sinne von Art. 99 Abs. 1 BGG handelt, nichts zu ändern vermögen, zumal die Operation vom 29. November 2019 nicht zum zeitlich massgebenden Sachverhalt (bis 2. November 2018) zählt,</w:t>
      </w:r>
    </w:p>
    <w:p>
      <w:r>
        <w:t>dass deshalb im vereinfachten Verfahren nach Art. 108 Abs. 1 lit. b und Abs. 2 BGG auf die Beschwerde nicht einzutreten ist,</w:t>
      </w:r>
    </w:p>
    <w:p>
      <w:r>
        <w:t>dass in Anwendung von Art. 66 Abs. 1 zweiter Satz BGG auf die Erhebung von Gerichtskosten umständehalber verzichtet wird,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Februar 2020</w:t>
      </w:r>
    </w:p>
    <w:p>
      <w:r>
        <w:t>Im Namen der II. sozialrechtlichen Abteilung</w:t>
      </w:r>
    </w:p>
    <w:p>
      <w:r>
        <w:t>des Schweizerischen Bundesgerichts</w:t>
      </w:r>
    </w:p>
    <w:p>
      <w:r>
        <w:t>Der Einzelrichter: Meyer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