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9C_116/2017 vom 14. Februar 2017</w:t>
      </w:r>
    </w:p>
    <w:p>
      <w:r>
        <w:t>Bundesgericht, 2017-02-14, DE</w:t>
      </w:r>
    </w:p>
    <w:p>
      <w:r>
        <w:rPr>
          <w:b/>
        </w:rPr>
        <w:t xml:space="preserve">Quelle: </w:t>
      </w:r>
      <w:r>
        <w:t>https://mcp.opencaselaw.ch/entscheid/bger_9C_116_2017</w:t>
      </w:r>
    </w:p>
    <w:p>
      <w:r>
        <w:t>FR: TF 9C_116/2017 du 14 février 2017</w:t>
      </w:r>
    </w:p>
    <w:p>
      <w:r>
        <w:t>IT: TF 9C_116/2017 del 14 febbraio 2017</w:t>
      </w:r>
    </w:p>
    <w:p>
      <w:pPr>
        <w:pStyle w:val="Heading2"/>
      </w:pPr>
      <w:r>
        <w:t>Volltext</w:t>
      </w:r>
    </w:p>
    <w:p>
      <w:r>
        <w:t>Bundesgericht</w:t>
      </w:r>
    </w:p>
    <w:p>
      <w:r>
        <w:t>Tribunal fédéral</w:t>
      </w:r>
    </w:p>
    <w:p>
      <w:r>
        <w:t>Tribunale federale</w:t>
      </w:r>
    </w:p>
    <w:p>
      <w:r>
        <w:t>Tribunal federal</w:t>
      </w:r>
    </w:p>
    <w:p>
      <w:r>
        <w:t>{T 0/2}</w:t>
      </w:r>
    </w:p>
    <w:p>
      <w:r>
        <w:t>9C_116/2017</w:t>
      </w:r>
    </w:p>
    <w:p>
      <w:r>
        <w:t>Urteil vom 14. Februar 2017</w:t>
      </w:r>
    </w:p>
    <w:p>
      <w:r>
        <w:t>II. sozialrechtliche Abteilung</w:t>
      </w:r>
    </w:p>
    <w:p>
      <w:r>
        <w:t>Besetzung</w:t>
      </w:r>
    </w:p>
    <w:p>
      <w:r>
        <w:t>Bundesrichterin Pfiffner, Präsidentin,</w:t>
      </w:r>
    </w:p>
    <w:p>
      <w:r>
        <w:t>Gerichtsschreiber R. Widmer.</w:t>
      </w:r>
    </w:p>
    <w:p>
      <w:r>
        <w:t>Verfahrensbeteiligte</w:t>
      </w:r>
    </w:p>
    <w:p>
      <w:r>
        <w:t>A.________,</w:t>
      </w:r>
    </w:p>
    <w:p>
      <w:r>
        <w:t>Beschwerdeführer,</w:t>
      </w:r>
    </w:p>
    <w:p>
      <w:r>
        <w:t>gegen</w:t>
      </w:r>
    </w:p>
    <w:p>
      <w:r>
        <w:t>Ausgleichskasse des Kantons Thurgau, Rechts- und Einsprachedienst,</w:t>
      </w:r>
    </w:p>
    <w:p>
      <w:r>
        <w:t>St. Gallerstrasse 11, 8500 Frauenfeld,</w:t>
      </w:r>
    </w:p>
    <w:p>
      <w:r>
        <w:t>Beschwerdegegnerin.</w:t>
      </w:r>
    </w:p>
    <w:p>
      <w:r>
        <w:t>Gegenstand</w:t>
      </w:r>
    </w:p>
    <w:p>
      <w:r>
        <w:t>Ergänzungsleistung zur AHV/IV,</w:t>
      </w:r>
    </w:p>
    <w:p>
      <w:r>
        <w:t>Beschwerde gegen den Entscheid des Verwaltungsgerichts des Kantons Thurgau</w:t>
      </w:r>
    </w:p>
    <w:p>
      <w:r>
        <w:t>vom 14. Dezember 2016.</w:t>
      </w:r>
    </w:p>
    <w:p>
      <w:r>
        <w:t>Nach Einsicht</w:t>
      </w:r>
    </w:p>
    <w:p>
      <w:r>
        <w:t>in die Beschwerde vom 3. Februar 2017 (Poststempel) gegen den Entscheid des Verwaltungsgerichts des Kantons Thurgau vom 14. Dezember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rechtsgenügliche Anträge enthält, den Ausführungen jedoch nicht entnommen werden kann, inwiefern die Sachverhaltsfeststellung im Sinne von Art. 97 Abs. 1 BGG - soweit überhaupt beanstandet - unzutreffend und die darauf beruhenden Erwägungen rechtsfehlerhaft sein sollen,</w:t>
      </w:r>
    </w:p>
    <w:p>
      <w:r>
        <w:t>dass der Beschwerdeführer vielmehr die eigene Sichtweise vorträgt und seine Ausführungen sich einzig mit Tatfragen befassen, ohne dass mit hinreichender Begründung geltend gemacht wird, die vorinstanzlichen Sachverhaltsfeststellungen seien offensichtlich unrichtig (willkürlich, unhaltbar: BGE 137 II 353 E. 5.1 S. 356, 135 II 145 E. 8.1 S. 153),</w:t>
      </w:r>
    </w:p>
    <w:p>
      <w:r>
        <w:t>dass deshalb im vereinfachten Verfahren nach Art. 108 Abs. 1 lit. b BGG auf die offensichtlich unzulässige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14. Februar 2017</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