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116/2011 vom 29. August 2011</w:t>
      </w:r>
    </w:p>
    <w:p>
      <w:r>
        <w:t>Bundesgericht, 2011-08-29, FR</w:t>
      </w:r>
    </w:p>
    <w:p>
      <w:r>
        <w:rPr>
          <w:b/>
        </w:rPr>
        <w:t xml:space="preserve">Quelle: </w:t>
      </w:r>
      <w:r>
        <w:t>https://mcp.opencaselaw.ch/entscheid/bger_9C_116_2011</w:t>
      </w:r>
    </w:p>
    <w:p>
      <w:r>
        <w:t>FR: TF 9C 116/2011 du 29 août 2011</w:t>
      </w:r>
    </w:p>
    <w:p>
      <w:r>
        <w:t>IT: TF 9C 116/2011 del 29 agosto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le plan formel, la recourante reproche à la juridiction cantonale d'avoir commis un déni de justice formel, en se prononçant sur la décision du 10 septembre 2008, alors que celle-ci avait été annulée par la décision rendue par l'office AI le 21 octobre 2008.</w:t>
      </w:r>
    </w:p>
    <w:p>
      <w:r>
        <w:rPr>
          <w:b/>
        </w:rPr>
        <w:t>E. 2.1</w:t>
      </w:r>
    </w:p>
    <w:p>
      <w:r>
        <w:t>Une autorité commet un déni de justice formel si elle n'entre pas en matière sur une cause qui lui est soumise, dans le délai et les formes requis, alors qu'elle doit en connaître ( ATF 135 I 6 consid. 2.1 p. 9; 134 I 229 consid. 2.3 p. 232). Il n'y a pas de déni de justice si l'autorité a statué sur ce qui était demandé, mais dans un sens qui déplaît au recourant (arrêt 2C_319/2009 du 26 janvier 2010 consid. 6.1 et la référence).</w:t>
      </w:r>
    </w:p>
    <w:p>
      <w:r>
        <w:rPr>
          <w:b/>
        </w:rPr>
        <w:t>E. 2.2</w:t>
      </w:r>
    </w:p>
    <w:p>
      <w:r>
        <w:t>En l'occurrence, on ne voit pas en quoi la juridiction cantonale aurait commis un déni de justice formel. Dans le recours qu'elle a interjeté auprès de cette autorité, la recourante avait limité l'objet du litige à la seule question de la durée du droit à la rente. Or, il semble avoir échappé à la recourante que la décision du 21 octobre 2008 n'avait pour objet que la correction du montant de la rente d'invalidité due pour la période courant du 1er au 31 janvier 2008, de sorte que la décision du 10 septembre 2008 demeurait valable pour tous les autres aspects du droit à la rente (voir également le courrier adressé à la recourante par la juridiction cantonale le 21 novembre 2008). Eu égard à l'objet du litige, la juridiction cantonale n'a donc commis aucun vice de procédure en retenant que la décision litigieuse était celle qui avait été rendue le 10 septembre 2008. Qui plus est, la juridiction cantonale s'est expressément prononcée sur la question que la recourante avait soulevée dans son recours. Dans ces conditions, le Tribunal fédéral ferait preuve de formalisme excessif, et on ne voit d'ailleurs pas où se situerait l'intérêt de la recourante, s'il annulait la procédure cantonale pour les motifs invoqués par cette dernière.</w:t>
      </w:r>
    </w:p>
    <w:p>
      <w:r>
        <w:rPr>
          <w:b/>
        </w:rPr>
        <w:t>E. 3.1</w:t>
      </w:r>
    </w:p>
    <w:p>
      <w:r>
        <w:t>Sur le fond, la recourante reproche à la juridiction cantonale d'avoir procédé à une constatation manifestement inexacte des faits pertinents, consécutive à une mauvaise appréciation des preuves. En substance, elle lui fait grief de s'être exclusivement fondée sur les conclusions de l'expertise réalisée par le docteur E.________, sans prendre en considération les rapports du Service psycho-social Y.________ du 5 février 2008, qui faisait état d'une incapacité de travail de 100 %, et du 12 novembre 2008, qui indiquait qu'elle n'avait pu reprendre son activité professionnelle qu'à 50 % dès le 1er avril 2008.</w:t>
      </w:r>
    </w:p>
    <w:p>
      <w:r>
        <w:rPr>
          <w:b/>
        </w:rPr>
        <w:t>E. 3.2</w:t>
      </w:r>
    </w:p>
    <w:p>
      <w:r>
        <w:t>Cela étant, la recourante n'explique pas vraiment en quoi le résultat de l'appréciation des preuves à laquelle les premiers juges ont procédé serait manifestement insoutenable. On rappellera que le Tribunal fédéral ne s'écarte pas de la solution retenue du seul fait qu'elle apparaît discutable ou même critiquable; il faut qu'elle soit manifestement insoutenable, et cela non seulement dans sa motivation mais également dans son résultat (sur la notion d'arbitraire, voir ATF 137 I 1 consid. 2.4 p. 5; 136 III 552 consid. 4.2 p. 560; 135 V 2 consid. 1.3 p. 4; 134 I 140 consid. 5.4 p. 148, 133 I 149 consid. 3.1 p. 153). Certes, les rapports établis par le Service psycho-social Y.________ semblent se distancier du point de vue exprimé par le docteur E.________. Les premiers juges ont toutefois écarté les rapports précités, au motif que ceux-ci ne démontraient pas que le problème à l'origine de la réaction dépressive (mobbing professionnel) avait engendré une atteinte à la santé psychique invalidante au-delà de ce qu'avait retenu l'expert. Dans son rapport d'expertise, le docteur E.________ avait d'ailleurs précisé que seul l'avis dûment motivé des médecins traitants pouvait justifier de s'écarter de son appréciation. Or, les rapports du Service psycho-social Y.________ ne sont que peu circonstanciés quant aux motifs justifiant le maintien d'une incapacité de travail totale au-delà de la période fixée par l'expert. Invité par AXA Winterthur à se déterminer sur le contenu du rapport du 5 février 2008, le docteur E.________ a indiqué qu'il ne modifiait en rien son avis quant à la reprise de travail (courrier d'AXA Assurances à Maître T.________ du 31 mars 2008). Dans ces conditions, on ne saurait considérer que les premiers juges auraient abusé de leur pouvoir d'appréciation et fait preuve d'arbitraire en considérant, sur la base du point de vue exprimé par le docteur E.________, que la reprise d'une activité lucrative était exigible depuis le 1er janvier 2008.</w:t>
      </w:r>
    </w:p>
    <w:p>
      <w:r>
        <w:rPr>
          <w:b/>
        </w:rPr>
        <w:t>E. 4</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