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114/2007 vom 20. Juli 2007</w:t>
      </w:r>
    </w:p>
    <w:p>
      <w:r>
        <w:t>Bundesgericht, 2007-07-20, DE</w:t>
      </w:r>
    </w:p>
    <w:p>
      <w:r>
        <w:rPr>
          <w:b/>
        </w:rPr>
        <w:t xml:space="preserve">Quelle: </w:t>
      </w:r>
      <w:r>
        <w:t>https://mcp.opencaselaw.ch/entscheid/bger_9C_114_2007</w:t>
      </w:r>
    </w:p>
    <w:p>
      <w:r>
        <w:t>FR: TF 9C 114/2007 du 20 juillet 2007</w:t>
      </w:r>
    </w:p>
    <w:p>
      <w:r>
        <w:t>IT: TF 9C 114/2007 del 20 luglio 2007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als Voraussetzung des Rentenanspruchs ( Art. 28 IVG ) der Invaliditätsgrad und in diesem Rahmen die Frage, ob und in welchem Ausmass die Beschwerdeführerin arbeitsunfähig ist. Das kantonale Gericht hat die zur Beurteilung des Leistungsanspruchs einschlägigen Rechtsgrundlagen zutreffend dargelegt. Darauf wird verwiesen.</w:t>
      </w:r>
    </w:p>
    <w:p>
      <w:r>
        <w:rPr>
          <w:b/>
        </w:rPr>
        <w:t>E. 3.1</w:t>
      </w:r>
    </w:p>
    <w:p>
      <w:r>
        <w:t>Die Vorinstanz hat in einlässlicher Würdigung der medizinischen Akten, insbesondere des Gutachtens des Ärztlichen Begutachtungs-Instituts X.________ vom 31. Januar 2005 sowie der Berichte der behandelnden Ärzte, festgestellt, dass die an multiplen Beschwerden vor allem psychischer Natur leidende Beschwerdeführerin für körperlich leichte bis mittelschwere Tätigkeiten, ohne längerdauernde Zwangshaltungen des Kopfes oder repetitive Bewegungen im Schultergürtelbereich zu 70 % arbeitsfähig ist, wobei sie von einer ganztägigen Präsenz mit einer um 30 % reduzierten Leistung ausgegangen ist. Diese Feststellungen sind tatsächlicher Natur und für das Bundesgericht grundsätzlich verbindlich (E. 1; vgl. zu Art. 105 Abs. 2 OG BGE 132 V 393 ).</w:t>
      </w:r>
    </w:p>
    <w:p>
      <w:r>
        <w:rPr>
          <w:b/>
        </w:rPr>
        <w:t>E. 3.2</w:t>
      </w:r>
    </w:p>
    <w:p>
      <w:r>
        <w:t>Was die Beschwerdeführerin dagegen vorbringen lässt, dringt nicht durch:</w:t>
      </w:r>
    </w:p>
    <w:p>
      <w:r>
        <w:rPr>
          <w:b/>
        </w:rPr>
        <w:t>E. 3.2.1</w:t>
      </w:r>
    </w:p>
    <w:p>
      <w:r>
        <w:t>Das Gutachten des Ärztlichen Begutachtungs-Instituts X.________ erfüllt klarerweise die von der Rechtsprechung aufgestellten Anforderungen an eine beweistaugliche und beweiskräftige Expertise ( BGE 125 V 351 E. 3a S. 252). Daran vermag nichts zu ändern, dass - was auch der Vorinstanz nicht entgangen ist - das Gutachten des Ärztlichen Begutachtungs-Instituts X.________ hinsichtlich der Einschätzung der Arbeitsunfähigkeit aus psychiatrischer Sicht einen scheinbaren Widerspruch aufweist: Während im Teilgutachten Psychiatrie zunächst ausgeführt wird, dass der Explorandin durchaus zugemutet werden könne, während etwa eines halben Tages ihrer bisherigen, wie auch alternativen Tätigkeit nachzugehen (was rechnerisch zu einer Arbeitsunfähigkeit von 50 % führen würde), kommt der Gutachter dieses Teiles zum Schluss, aus psychiatrischer Sicht sei von einer 30%igen Arbeitsunfähigkeit auszugehen. Das kantonale Gericht legt aber durchaus plausibel dar, dass im Rahmen der Gesamtbeurteilung, an der sämtliche Gutachter teilgenommen haben, der Grad der Arbeitsunfähigkeit auf 30 % festgelegt worden ist.</w:t>
      </w:r>
    </w:p>
    <w:p>
      <w:r>
        <w:rPr>
          <w:b/>
        </w:rPr>
        <w:t>E. 3.2.2</w:t>
      </w:r>
    </w:p>
    <w:p>
      <w:r>
        <w:t>Nichts zu ihren Gunsten abzuleiten vermag die Beschwerdeführerin aus der gestützt auf eine Fernsehsendung in allgemeiner Form vorgetragenen Kritik am Ärztlichen Begutachtungs-Institut X.________. Dafür, dass die hier allein zu beurteilende Expertise nicht korrekt zu Stande gekommen oder gar manipuliert worden wäre, fehlen jegliche Anhaltspunkte.</w:t>
      </w:r>
    </w:p>
    <w:p>
      <w:r>
        <w:rPr>
          <w:b/>
        </w:rPr>
        <w:t>E. 3.2.3</w:t>
      </w:r>
    </w:p>
    <w:p>
      <w:r>
        <w:t>Die Beschwerdeführerin wendet weiter ein, zwischen den Beurteilungen der Arbeitsfähigkeit im Gutachten des Ärztlichen Begutachtungs-Instituts X.________ einerseits und der Berichte der psychiatrischen Poliklinik des Spitals Y.________ vom 2. November 2005 und des behandelnden Facharztes anderseits bestehe eine derart grosse Diskrepanz, dass weitere Abklärungen notwendig gewesen wären. Abgesehen davon, dass im Bericht der Poliklinik die vollständige Arbeitsunfähigkeit und damit die markante Abweichung von der Einschätzung im Gutachten des Ärztlichen Begutachtungs-Instituts X.________ nicht begründet wird, übersieht die Beschwerdeführerin, dass bei der gerichtlichen Beurteilung eines Falles grundsätzlich auf den bis zum Zeitpunkt des Einspracheentscheides eingetretenen Sachverhalt abgestellt wird (siehe dazu BGE 131 V 242 E. 2.1 S. 243 mit Hinweisen). Dass zwischenzeitlich offenbar die Diagnose einer mittelgradigen Depression (im Gutachten des Ärztlichen Begutachtungs-Instituts X.________ noch leichten bis mittelgradigen Ausmasses) sowie einer somatoformen Schmerzstörung (die aber nach der Rechtsprechung als solche grundsätzlich keine invalidisierende Arbeitsunfähigkeit zu bewirken vermag, siehe BGE 130 V 352 E. 2.2.3 S. 354) gestellt worden ist, kann daher in diesem Verfahren nicht berücksichtigt werden. Die vom Gutachten abweichende Beurteilung der Arbeitsunfähigkeit durch den behandelnden Facharzt vermag schliesslich auch nicht zu überzeugen. Wegen der Verschiedenheit von Behandlungs- und Begutachtungsauftrag kann im Streitfall regelmässig nicht auf die Sicht des behandelnden (Fach-) Arztes abgestellt werden (vgl. statt vieler: Urteil K. vom 5. Januar 2007, I 701/05, E. 2 in fine mit zahlreichen Hinweisen).</w:t>
      </w:r>
    </w:p>
    <w:p>
      <w:r>
        <w:rPr>
          <w:b/>
        </w:rPr>
        <w:t>E. 3.3</w:t>
      </w:r>
    </w:p>
    <w:p>
      <w:r>
        <w:t>Die Kritik an der auf der genannten Expertise fussenden vorinstanzlichen Feststellung zur Arbeitsfähigkeit führt nach dem Gesagten nicht zur Annahme einer Bundesrechtsverletzung. Die Feststellung, die Beschwerdeführerin sei - unter den genannten Einschränkungen - zu 70 % arbeitsfähig, ist daher für das Bundesgericht verbindlich (vgl. E. 1).</w:t>
      </w:r>
    </w:p>
    <w:p>
      <w:r>
        <w:rPr>
          <w:b/>
        </w:rPr>
        <w:t>E. 3.4</w:t>
      </w:r>
    </w:p>
    <w:p>
      <w:r>
        <w:t>Angesichts der schlüssigen medizinischen Aktenlage bedarf es keiner weiteren medizinischen Abklärungen, weshalb von der eventualiter beantragten Rückweisung abzusehen ist (antizipierte Beweiswürdigung; BGE 124 V 90 E. 4b S. 94).</w:t>
      </w:r>
    </w:p>
    <w:p>
      <w:r>
        <w:rPr>
          <w:b/>
        </w:rPr>
        <w:t>E. 4</w:t>
      </w:r>
    </w:p>
    <w:p>
      <w:r>
        <w:t>Es bleibt zu prüfen, wie sich die eingeschränkte Arbeitsfähigkeit erwerblich auswirkt. Das kantonale Gericht hat anhand eines in allen Teilen überzeugenden Einkommensvergleichs festgestellt, dass der Invaliditätsgrad rentenausschliessende 37 % beträgt. Die Beschwerdeführerin beanstandet einzig den von der Vorinstanz gewährten Leidensabzug von 10 % als zu niedrig. Die Gewährung des leidensbedingten Abzuges (vgl. dazu BGE 126 V 75 ) ist indessen eine typische Ermessensfrage, deren Beantwortung letztinstanzlicher Korrektur nur mehr dort zugänglich ist, wo das kantonale Gericht das Ermessen rechtsfehlerhaft ausgeübt hat, also Ermessensüberschreitung, -missbrauch oder -unterschreitung vorliegt ( BGE 132 V 393 E. 3.3 S. 399). Das trifft hier umso weniger zu, als der Beschwerdeführerin nicht nur leichte, sondern gar mittelschwere Tätigkeiten zumutbar sind und daher der Abzug von 10 % nicht beanstandet werden kann.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