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9C_112/2011 vom 5. August 2011</w:t>
      </w:r>
    </w:p>
    <w:p>
      <w:r>
        <w:t>Bundesgericht, 2011-08-05, DE</w:t>
      </w:r>
    </w:p>
    <w:p>
      <w:r>
        <w:rPr>
          <w:b/>
        </w:rPr>
        <w:t xml:space="preserve">Quelle: </w:t>
      </w:r>
      <w:r>
        <w:t>https://mcp.opencaselaw.ch/entscheid/bger_9C_112_2011</w:t>
      </w:r>
    </w:p>
    <w:p>
      <w:r>
        <w:t>FR: TF 9C_112/2011 du 5 août 2011</w:t>
      </w:r>
    </w:p>
    <w:p>
      <w:r>
        <w:t>IT: TF 9C_112/2011 del 5 agosto 2011</w:t>
      </w:r>
    </w:p>
    <w:p>
      <w:pPr>
        <w:pStyle w:val="Heading2"/>
      </w:pPr>
      <w:r>
        <w:t>Erwägungen</w:t>
      </w:r>
    </w:p>
    <w:p>
      <w:r>
        <w:rPr>
          <w:b/>
        </w:rPr>
        <w:t>E. 1.1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Der Rückforderungsanspruch unrechtmässig bezogener Leistungen erlischt mit dem Ablauf eines Jahres, nachdem die Versicherungseinrichtung davon Kenntnis erhalten hat, spätestens aber mit dem Ablauf von fünf Jahren nach der Entrichtung der einzelnen Leistung ( Art. 25 Abs. 2 Satz 1 ATSG ). Für den Beginn der relativen einjährigen Verwirkungsfrist ist nicht das erstmalige unrichtige Handeln und die daran anknüpfende unrechtmässige Leistungsausrichtung massgebend. Abzustellen ist auf jenen Tag, an dem das Durchführungsorgan später bei der ihm gebotenen und zumutbaren Aufmerksamkeit - etwa aufgrund eines zusätzlichen Indizes (SVR 2002 IV Nr. 2, I 678/00, S. 5 f. E. 3b) - den Fehler hätte erkennen müssen, wobei die Voraussetzungen für eine Rückforderung erfüllt zu sein haben. Dies ist der Fall, wenn alle im konkreten Einzelfall erheblichen Umstände zugänglich sind, aus deren Kenntnis sich der Rückforderungsanspruch dem Grundsatz nach und in seinem Ausmass gegenüber einer bestimmten rückerstattungspflichtigen Person ergibt. Nach der Rechtsprechung gilt in Bezug auf die Ergänzungsleistungen eine unrechtmässige Leistungsausrichtung spätestens im Rahmen der periodischen, mindestens alle vier Jahre vorzunehmenden Überprüfung der wirtschaftlichen Verhältnisse als erkennbar ( Art. 30 ELV ; Urteil 9C_482/2009 vom 19. Februar 2010 E. 3.3.2), sodass die relative einjährige Verwirkungsfrist zu laufen beginnt, sobald der Rückforderungsanspruch als solcher und betragsmässig feststeht (Urteil 9C_999/2009 vom 7. Juni 2010 E. 3.2.1).</w:t>
      </w:r>
    </w:p>
    <w:p>
      <w:r>
        <w:rPr>
          <w:b/>
        </w:rPr>
        <w:t>E. 2</w:t>
      </w:r>
    </w:p>
    <w:p>
      <w:r>
        <w:t>Für den Bezug von Ergänzungsleistungen hat die Gesuch stellende Person bei der Durchführungsstelle für Zusatzleistungen zur AHV/IV der Stadt X.________ ein dazu bestimmtes Formular auszufüllen. Es stellt sich somit die Frage, inwieweit aufgrund dieses Anmeldeformulars hinreichend klar war, dass darin auch Freizügigkeitsguthaben und ein 3a-Säule-Konto aufzuführen sind. Dabei hat die Vorinstanz der Beschwerdeführerin im angefochtenen Entscheid nicht vorgeworfen, sie habe im Anmeldeformular offenkundig falsche Antworten gegeben. Vielmehr ist das kantonale Gericht davon ausgegangen, sie habe die darin gestellten Fragen durch unvollständige Angaben beantwortet. Was die Beschwerdeführerin dagegen vorbringt, führt nicht zu einem anderen Ergebnis. So mögen weder ein Freizügigkeitsguthaben noch ein Guthaben der Säule 3a während des Ansparens Steuersubstrat bilden. Indes wird spätestens mit der Auffangfrage nach "andere(n) Vermögenswerte(n)" eindeutig klar, dass die Bezügerin von Ergänzungsleistungen sämtliche Aktiven anzugeben hat, wozu auch unzweifelhaft Freizügigkeitskonti und Sparkapitalien auf einem Konto der 3. Säule gehören.</w:t>
      </w:r>
    </w:p>
    <w:p>
      <w:r>
        <w:rPr>
          <w:b/>
        </w:rPr>
        <w:t>E. 3</w:t>
      </w:r>
    </w:p>
    <w:p>
      <w:r>
        <w:t>Zu prüfen ist, ob und inwieweit der Rückerstattungsanspruch der Durchführungsstelle verwirkt ist. Die Vorinstanz verneinte dies mit der Begründung, eine Nachforschungspflicht der Beschwerdegegnerin im Zeitpunkt der Anmeldung bzw. anlässlich der erstmaligen Zusprechung von Ergänzungsleistungen sei zu verneinen. Auch im Sinne einer kombinatorischen Analyse der Belege der Erwerbsbiographie der Beschwerdeführerin sei eine Nachforschungspflicht nicht gegeben.</w:t>
      </w:r>
    </w:p>
    <w:p>
      <w:r>
        <w:t>Feststellungen einer gerichtlichen Vorinstanz, was die Parteien in einem bestimmten Zeitpunkt gewusst oder nicht gewusst haben, sind tatsächlicher Natur. Rechtsfragen sind hingegen Folgerungen, die ausschliesslich - losgelöst vom konkreten Sachverhalt - auf die allgemeine Lebenserfahrung gestützt werden, oder die Frage, ob aus festgestellten Tatsachen oder Indizien mit Recht auf bestimmte Umstände oder Rechtsfolgen geschlossen worden ist. Rechtsfrage ist namentlich auch, wie weit eine bestimmte Sorgfaltspflicht geht (SVR 2008 KV Nr. 4, K 70/06, S. 16 E. 5.4). Bei der Frage, ob der Rückerstattungsanspruch der Durchführungsstelle wegen verletzter Nachforschungspflicht verwirkt ist, handelt es sich somit um eine Rechtsfrage.</w:t>
      </w:r>
    </w:p>
    <w:p>
      <w:r>
        <w:rPr>
          <w:b/>
        </w:rPr>
        <w:t>E. 3.1</w:t>
      </w:r>
    </w:p>
    <w:p>
      <w:r>
        <w:t>Die vorinstanzliche Würdigung der konkreten Verhältnisse überzeugt. Die Beschwerdeführerin lässt ausser Acht, dass es nicht um die Frage geht, wie leicht es für die Beschwerdegegnerin gewesen wäre abzuklären, ob eine Vorsorgeversicherung bestand. Vielmehr steht die Frage im Vordergrund, ob und inwieweit die Beschwerdegegnerin Anlass gehabt hätte, weitere Abklärungen zu treffen. Auch wenn es sich bei ihr um eine "spezialisierte Behörde" handelt, wie die Beschwerdeführerin ausführt, ist nicht ersichtlich, aus welchen gerechtfertigten Gründen der allgemeinen Mitwirkungspflicht der Versicherten gegenüber der üblichen Nachforschungspflicht der Beschwerdegegnerin von vornherein geringeres Gewicht zukommen soll.</w:t>
      </w:r>
    </w:p>
    <w:p>
      <w:r>
        <w:rPr>
          <w:b/>
        </w:rPr>
        <w:t>E. 3.2</w:t>
      </w:r>
    </w:p>
    <w:p>
      <w:r>
        <w:t>Nach dem Gesagten war der Beschwerdeführerin im vorliegenden Fall ein Mindestmass an Kenntnis und Sorgfalt möglich, das Freizügigkeits- und Säule 3a-Konto bei der Anmeldung zu deklarieren (E. 2), insbesondere unter Berücksichtigung des Umstandes, dass sie im Januar 1998 die entsprechenden Kontoauszüge erhalten hatte. Das erstmalige unrichtige Handeln der Beschwerdegegnerin kann ihr somit bei aller zumutbarer Aufmerksamkeit erst mit Kenntnisnahme der besagten Vermögenswerte am 25. Februar 2008 angelastet werden. Ihr Rückforderungsanspruch war demnach bei Erlass der Rückforderungsverfügung vom 1. Juli 2008 nicht verwirkt.</w:t>
      </w:r>
    </w:p>
    <w:p>
      <w:r>
        <w:rPr>
          <w:b/>
        </w:rPr>
        <w:t>E. 4</w:t>
      </w:r>
    </w:p>
    <w:p>
      <w:r>
        <w:t>Gemäss Einspracheentscheid vom 2. Februar 2009 bezieht sich der rückerstattungspflichtige Betrag auf die Zeit vom 1. März 2003 bis zum 31. Juli 2008. Dieser zeitliche Rückforderungsanspruch hinsichtlich des Freizügigkeitsguthabens und des Guthabens der Säule 3a ist unbestritten und für die Berechnung des rückerstattungspflichtigen Betrags massgeblich.</w:t>
      </w:r>
    </w:p>
    <w:p>
      <w:r>
        <w:rPr>
          <w:b/>
        </w:rPr>
        <w:t>E. 5</w:t>
      </w:r>
    </w:p>
    <w:p>
      <w:r>
        <w:t>Dem Verfahrensausgang entsprechend sind die Gerichtskosten der Beschwerdeführerin aufzuerlegen ( Art. 66 Abs. 1 BGG ). Es ist keine Parteientschädigung zu bezahlen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